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70686">
      <w:pPr>
        <w:jc w:val="center"/>
        <w:rPr>
          <w:b/>
          <w:sz w:val="24"/>
          <w:szCs w:val="24"/>
        </w:rPr>
      </w:pPr>
      <w:r w:rsidRPr="00B70686">
        <w:rPr>
          <w:b/>
          <w:sz w:val="24"/>
          <w:szCs w:val="24"/>
        </w:rPr>
        <w:t>BRASIL</w:t>
      </w:r>
    </w:p>
    <w:p w:rsidR="00000000" w:rsidRDefault="00EE2763">
      <w:pPr>
        <w:jc w:val="center"/>
        <w:rPr>
          <w:b/>
          <w:sz w:val="24"/>
          <w:szCs w:val="24"/>
        </w:rPr>
      </w:pPr>
    </w:p>
    <w:p w:rsidR="00000000" w:rsidRDefault="00EE2763">
      <w:pPr>
        <w:jc w:val="center"/>
        <w:rPr>
          <w:b/>
          <w:sz w:val="24"/>
          <w:szCs w:val="24"/>
        </w:rPr>
      </w:pPr>
    </w:p>
    <w:p w:rsidR="00000000" w:rsidRDefault="00A3180C">
      <w:pPr>
        <w:jc w:val="center"/>
        <w:rPr>
          <w:b/>
          <w:sz w:val="24"/>
          <w:szCs w:val="24"/>
        </w:rPr>
      </w:pPr>
      <w:r>
        <w:rPr>
          <w:b/>
          <w:sz w:val="24"/>
          <w:szCs w:val="24"/>
        </w:rPr>
        <w:t>1. Rasgos generales</w:t>
      </w:r>
    </w:p>
    <w:p w:rsidR="00000000" w:rsidRDefault="00EE2763">
      <w:pPr>
        <w:jc w:val="center"/>
        <w:rPr>
          <w:b/>
          <w:sz w:val="24"/>
          <w:szCs w:val="24"/>
        </w:rPr>
      </w:pPr>
    </w:p>
    <w:p w:rsidR="00186445" w:rsidRPr="00B70686" w:rsidRDefault="00A3180C" w:rsidP="00B70686">
      <w:pPr>
        <w:rPr>
          <w:sz w:val="24"/>
          <w:szCs w:val="24"/>
        </w:rPr>
      </w:pPr>
      <w:r>
        <w:rPr>
          <w:sz w:val="24"/>
          <w:szCs w:val="24"/>
        </w:rPr>
        <w:t xml:space="preserve">En 2011 el crecimiento de la economía brasileña se desaceleró a un 2,7%, después de la expansión del 7,5% alcanzada en 2010, debido a las medidas de política implementadas por las autoridades con el objeto de mantener la tasa de inflación dentro de las metas establecidas, al deterioro del escenario externo y a restricciones de la capacidad productiva nacional. A partir del segundo semestre, se modificó la política económica y se inició un proceso de reducción de la tasa de interés básica, con la intención de aumentar la demanda interna e incentivar la inversión. La tasa de inflación acumulada en el año fue del 6,5%, en el límite superior de la meta. </w:t>
      </w:r>
    </w:p>
    <w:p w:rsidR="00B70686" w:rsidRPr="00B70686" w:rsidRDefault="00B70686" w:rsidP="00B70686">
      <w:pPr>
        <w:rPr>
          <w:sz w:val="24"/>
          <w:szCs w:val="24"/>
        </w:rPr>
      </w:pPr>
    </w:p>
    <w:p w:rsidR="00CB6D88" w:rsidRPr="00B70686" w:rsidRDefault="00A3180C" w:rsidP="00B70686">
      <w:pPr>
        <w:rPr>
          <w:sz w:val="24"/>
          <w:szCs w:val="24"/>
        </w:rPr>
      </w:pPr>
      <w:r>
        <w:rPr>
          <w:sz w:val="24"/>
          <w:szCs w:val="24"/>
        </w:rPr>
        <w:tab/>
        <w:t>La disminución de la tasa de crecimiento no repercutió en el buen desempeño del mercado laboral. En 2011 se anotó la menor tasa de desempleo registrada (6,0%) y continuó la fuerte expansión del empleo formal, que sumó 1,7 millones de puestos de trabajo, cifra que, sin embargo, fue inferior al récord anotado en 2010 de 2,2 millones de empleos. Las remuneraciones de los asalariados privados formales continuaron aumentando y marcaron un incremento medio real del 2,5%.</w:t>
      </w:r>
    </w:p>
    <w:p w:rsidR="00B70686" w:rsidRPr="00B70686" w:rsidRDefault="00B70686" w:rsidP="00B70686">
      <w:pPr>
        <w:rPr>
          <w:sz w:val="24"/>
          <w:szCs w:val="24"/>
        </w:rPr>
      </w:pPr>
    </w:p>
    <w:p w:rsidR="00136EB4" w:rsidRPr="00B70686" w:rsidRDefault="00A3180C" w:rsidP="00B70686">
      <w:pPr>
        <w:rPr>
          <w:sz w:val="24"/>
          <w:szCs w:val="24"/>
        </w:rPr>
      </w:pPr>
      <w:r>
        <w:rPr>
          <w:sz w:val="24"/>
          <w:szCs w:val="24"/>
        </w:rPr>
        <w:tab/>
        <w:t xml:space="preserve">En cuanto al sector externo, el superávit comercial aumentó a 29.800 millones de dólares, debido a los mayores precios de los productos exportados. Las exportaciones crecieron un 26,7% y las importaciones aumentaron un 24,5%. El mayor superávit comercial permitió aminorar la </w:t>
      </w:r>
      <w:proofErr w:type="spellStart"/>
      <w:r>
        <w:rPr>
          <w:sz w:val="24"/>
          <w:szCs w:val="24"/>
        </w:rPr>
        <w:t>ampliaci</w:t>
      </w:r>
      <w:r>
        <w:rPr>
          <w:sz w:val="24"/>
          <w:szCs w:val="24"/>
          <w:lang w:val="es-AR"/>
        </w:rPr>
        <w:t>ón</w:t>
      </w:r>
      <w:proofErr w:type="spellEnd"/>
      <w:r>
        <w:rPr>
          <w:sz w:val="24"/>
          <w:szCs w:val="24"/>
          <w:lang w:val="es-AR"/>
        </w:rPr>
        <w:t xml:space="preserve"> d</w:t>
      </w:r>
      <w:r>
        <w:rPr>
          <w:sz w:val="24"/>
          <w:szCs w:val="24"/>
        </w:rPr>
        <w:t xml:space="preserve">el déficit de las balanzas de servicios y de renta. En consecuencia, el déficit en cuenta corriente ascendió a los 52.600 millones de dólares (un 2,1% del PIB). En 2011 se registró un ingreso de inversión extranjera directa sin precedentes (66.700 millones de dólares), que contribuyó al saldo de la cuenta de capital y financiera de 111.900 millones de dólares. </w:t>
      </w:r>
    </w:p>
    <w:p w:rsidR="00B70686" w:rsidRPr="00B70686" w:rsidRDefault="00B70686" w:rsidP="00B70686">
      <w:pPr>
        <w:rPr>
          <w:sz w:val="24"/>
          <w:szCs w:val="24"/>
        </w:rPr>
      </w:pPr>
    </w:p>
    <w:p w:rsidR="00A455FA" w:rsidRPr="00EF6266" w:rsidRDefault="00A3180C" w:rsidP="00B70686">
      <w:pPr>
        <w:rPr>
          <w:spacing w:val="-2"/>
          <w:sz w:val="24"/>
          <w:szCs w:val="24"/>
        </w:rPr>
      </w:pPr>
      <w:r w:rsidRPr="00A3180C">
        <w:rPr>
          <w:spacing w:val="-2"/>
          <w:sz w:val="24"/>
          <w:szCs w:val="24"/>
        </w:rPr>
        <w:tab/>
        <w:t xml:space="preserve">El mayor influjo de capitales externos generó una presión sobre el tipo de cambio, que se apreció de forma continua hasta agosto de 2011, cuando el gobierno implementó medidas adicionales destinadas a regular estos flujos. El impuesto aplicado sobre varias operaciones financieras se incrementó hasta un 6% y se amplió el plazo mínimo aplicable a operaciones que antes no estaban afectadas por él. Esta política contribuyó a frenar la apreciación nominal del real. </w:t>
      </w:r>
    </w:p>
    <w:p w:rsidR="00B70686" w:rsidRPr="00B70686" w:rsidRDefault="00B70686" w:rsidP="00B70686">
      <w:pPr>
        <w:rPr>
          <w:sz w:val="24"/>
          <w:szCs w:val="24"/>
        </w:rPr>
      </w:pPr>
    </w:p>
    <w:p w:rsidR="00425CE5" w:rsidRPr="00B70686" w:rsidRDefault="00A3180C" w:rsidP="00B70686">
      <w:pPr>
        <w:rPr>
          <w:sz w:val="24"/>
          <w:szCs w:val="24"/>
        </w:rPr>
      </w:pPr>
      <w:r>
        <w:rPr>
          <w:sz w:val="24"/>
          <w:szCs w:val="24"/>
        </w:rPr>
        <w:tab/>
        <w:t xml:space="preserve">Por el lado de la oferta, los sectores productivos exhibieron un escaso dinamismo, en especial la manufactura que, después de crecer un 10,1% en 2010, registró un alza del 0,1%, gracias a la mayor competencia de productos importados debido a la apreciación cambiaria, mayores presiones de costos laborales y una elevada carga tributaria. </w:t>
      </w:r>
    </w:p>
    <w:p w:rsidR="00B70686" w:rsidRPr="00B70686" w:rsidRDefault="00B70686" w:rsidP="00B70686">
      <w:pPr>
        <w:rPr>
          <w:sz w:val="24"/>
          <w:szCs w:val="24"/>
        </w:rPr>
      </w:pPr>
    </w:p>
    <w:p w:rsidR="007660B2" w:rsidRPr="00B70686" w:rsidRDefault="00A3180C" w:rsidP="00B70686">
      <w:pPr>
        <w:rPr>
          <w:sz w:val="24"/>
          <w:szCs w:val="24"/>
        </w:rPr>
      </w:pPr>
      <w:r>
        <w:rPr>
          <w:sz w:val="24"/>
          <w:szCs w:val="24"/>
        </w:rPr>
        <w:tab/>
        <w:t xml:space="preserve">En un cuadro general de incertidumbre internacional y de restricciones internas, a lo largo del segundo semestre de 2011 el gobierno brasileño implementó varias iniciativas de apoyo a la industria manufacturera, como el programa Brasil Mayor, que incluye incentivos a la inversión e innovación, además de restablecer algunas medidas </w:t>
      </w:r>
      <w:proofErr w:type="spellStart"/>
      <w:r>
        <w:rPr>
          <w:sz w:val="24"/>
          <w:szCs w:val="24"/>
        </w:rPr>
        <w:t>anticíclicas</w:t>
      </w:r>
      <w:proofErr w:type="spellEnd"/>
      <w:r>
        <w:rPr>
          <w:sz w:val="24"/>
          <w:szCs w:val="24"/>
        </w:rPr>
        <w:t xml:space="preserve"> de reducción de impuestos y contribuciones a la seguridad social de los empleadores a sectores específicos intensivos en mano de obra. </w:t>
      </w:r>
    </w:p>
    <w:p w:rsidR="00000000" w:rsidRDefault="00EF6266">
      <w:pPr>
        <w:jc w:val="center"/>
        <w:rPr>
          <w:b/>
          <w:sz w:val="24"/>
          <w:szCs w:val="24"/>
        </w:rPr>
      </w:pPr>
      <w:r>
        <w:rPr>
          <w:b/>
          <w:sz w:val="24"/>
          <w:szCs w:val="24"/>
        </w:rPr>
        <w:lastRenderedPageBreak/>
        <w:t xml:space="preserve">2. </w:t>
      </w:r>
      <w:r w:rsidR="00A3180C">
        <w:rPr>
          <w:b/>
          <w:sz w:val="24"/>
          <w:szCs w:val="24"/>
        </w:rPr>
        <w:t>La política económica</w:t>
      </w:r>
    </w:p>
    <w:p w:rsidR="00000000" w:rsidRDefault="00EE2763">
      <w:pPr>
        <w:jc w:val="center"/>
        <w:rPr>
          <w:b/>
          <w:sz w:val="24"/>
          <w:szCs w:val="24"/>
        </w:rPr>
      </w:pPr>
    </w:p>
    <w:p w:rsidR="00000000" w:rsidRDefault="00A3180C">
      <w:pPr>
        <w:rPr>
          <w:sz w:val="24"/>
          <w:szCs w:val="24"/>
        </w:rPr>
      </w:pPr>
      <w:r>
        <w:rPr>
          <w:sz w:val="24"/>
          <w:szCs w:val="24"/>
        </w:rPr>
        <w:t>La política económica brasileña está orientada a lograr un ritmo de crecimiento sostenido,</w:t>
      </w:r>
      <w:r w:rsidR="00436AF1">
        <w:rPr>
          <w:sz w:val="24"/>
          <w:szCs w:val="24"/>
        </w:rPr>
        <w:t xml:space="preserve"> </w:t>
      </w:r>
      <w:r>
        <w:rPr>
          <w:sz w:val="24"/>
          <w:szCs w:val="24"/>
        </w:rPr>
        <w:t xml:space="preserve">con resultados fiscales que aseguren una trayectoria descendente de la relación entre la deuda pública y el PIB, permitiendo al mismo tiempo una expansión de la inversión pública. A esto se suma una política monetaria expansiva. </w:t>
      </w:r>
    </w:p>
    <w:p w:rsidR="00000000" w:rsidRDefault="00EE2763">
      <w:pPr>
        <w:rPr>
          <w:sz w:val="24"/>
          <w:szCs w:val="24"/>
        </w:rPr>
      </w:pPr>
    </w:p>
    <w:p w:rsidR="00000000" w:rsidRDefault="00A3180C">
      <w:pPr>
        <w:numPr>
          <w:ilvl w:val="0"/>
          <w:numId w:val="1"/>
        </w:numPr>
        <w:ind w:left="0" w:firstLine="0"/>
        <w:rPr>
          <w:sz w:val="24"/>
          <w:szCs w:val="24"/>
        </w:rPr>
      </w:pPr>
      <w:r>
        <w:rPr>
          <w:b/>
          <w:sz w:val="24"/>
          <w:szCs w:val="24"/>
        </w:rPr>
        <w:t>La política fiscal</w:t>
      </w:r>
      <w:r>
        <w:rPr>
          <w:sz w:val="24"/>
          <w:szCs w:val="24"/>
        </w:rPr>
        <w:t xml:space="preserve">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En 2011 el superávit primario del sector público aumentó de un 2,7% del PIB en 2010 a un 3,1% del PIB en 2011. Este resultado obedece a una mayor recaudación tributaria y a un mayor control sobre la expansión de los gastos públicos, en especial los gastos corrientes. La recaudación nominal del gobierno federal creció un 17,7%, (excluido el efecto de la operación</w:t>
      </w:r>
      <w:r w:rsidR="00436AF1">
        <w:rPr>
          <w:sz w:val="24"/>
          <w:szCs w:val="24"/>
        </w:rPr>
        <w:t xml:space="preserve"> </w:t>
      </w:r>
      <w:r w:rsidR="00A3180C">
        <w:rPr>
          <w:sz w:val="24"/>
          <w:szCs w:val="24"/>
        </w:rPr>
        <w:t xml:space="preserve">de capitalización de </w:t>
      </w:r>
      <w:proofErr w:type="spellStart"/>
      <w:r w:rsidR="00A3180C">
        <w:rPr>
          <w:sz w:val="24"/>
          <w:szCs w:val="24"/>
        </w:rPr>
        <w:t>Petrobrás</w:t>
      </w:r>
      <w:proofErr w:type="spellEnd"/>
      <w:r w:rsidR="00A3180C">
        <w:rPr>
          <w:sz w:val="24"/>
          <w:szCs w:val="24"/>
        </w:rPr>
        <w:t xml:space="preserve"> en 2010) y los gastos nominales aumentaron un 10,2% en el mismo período. Los gastos de capital aumentaron solamente un 0,8%, de manera que se mantuvieron en un monto de 45.000 millones de reales, nivel sin precedentes en los últimos años. Destaca la evolución favorable del déficit de la seguridad social, que en 2011 disminuyó un 0,3% del PIB, principalmente por los mayores ingresos nominales (16%) producto de la expansión del empleo formal y de un alza del 10,4% de los beneficios otorgados.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los ingresos, en términos reales, destaca la recaudación federal sin precedentes de casi un trillón de reales en 2011, con un incremento del 10,2%, con lo cual la recaudación federal como porcentaje del PIB aumentó casi dos puntos porcentuales, a cerca del 24% del PIB. Este aumento obedeció sobre todo a los mayores ingresos provenientes del impuesto sobre la renta (14,1%), tanto aquellos sobre las ganancias de capital como sobre las utilidades de las empresas y los rendimientos del trabajo. Al total de la recaudación contribuyeron los ingresos extraordinarios por concepto de pagos de las empresas mineras, que bordearon los </w:t>
      </w:r>
      <w:r>
        <w:rPr>
          <w:sz w:val="24"/>
          <w:szCs w:val="24"/>
        </w:rPr>
        <w:br/>
      </w:r>
      <w:r w:rsidR="00A3180C">
        <w:rPr>
          <w:sz w:val="24"/>
          <w:szCs w:val="24"/>
        </w:rPr>
        <w:t>6.000 millones de reales. Otros impuestos crecieron debido a la actividad económica, tales como los impuestos sobre las importaciones (17,0%) y las operaciones financieras (12,1%).</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Los gobiernos </w:t>
      </w:r>
      <w:proofErr w:type="spellStart"/>
      <w:r w:rsidR="00A3180C">
        <w:rPr>
          <w:sz w:val="24"/>
          <w:szCs w:val="24"/>
        </w:rPr>
        <w:t>subnacionales</w:t>
      </w:r>
      <w:proofErr w:type="spellEnd"/>
      <w:r w:rsidR="00A3180C">
        <w:rPr>
          <w:sz w:val="24"/>
          <w:szCs w:val="24"/>
        </w:rPr>
        <w:t xml:space="preserve"> registraron igualmente un aumento del superávit. El superávit primario de los gobiernos estaduales y municipales subió de un 0,55% del PIB en 2010 a un 0,80% del PIB en 2011, gracias al incremento de sus ingresos, incluidas las transferencias del gobierno federal, que subieron por un monto equivalente al 0,44% del PIB. </w:t>
      </w:r>
    </w:p>
    <w:p w:rsidR="00000000" w:rsidRDefault="00EE2763">
      <w:pPr>
        <w:rPr>
          <w:b/>
          <w:sz w:val="24"/>
          <w:szCs w:val="24"/>
        </w:rPr>
      </w:pPr>
    </w:p>
    <w:p w:rsidR="00000000" w:rsidRDefault="00A3180C">
      <w:pPr>
        <w:numPr>
          <w:ilvl w:val="0"/>
          <w:numId w:val="1"/>
        </w:numPr>
        <w:ind w:left="0" w:firstLine="0"/>
        <w:rPr>
          <w:sz w:val="24"/>
          <w:szCs w:val="24"/>
        </w:rPr>
      </w:pPr>
      <w:r>
        <w:rPr>
          <w:b/>
          <w:sz w:val="24"/>
          <w:szCs w:val="24"/>
        </w:rPr>
        <w:t xml:space="preserve">La política monetaria, cambiaria y </w:t>
      </w:r>
      <w:proofErr w:type="spellStart"/>
      <w:r>
        <w:rPr>
          <w:b/>
          <w:sz w:val="24"/>
          <w:szCs w:val="24"/>
        </w:rPr>
        <w:t>macroprudencial</w:t>
      </w:r>
      <w:proofErr w:type="spellEnd"/>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cuanto a la política monetaria, en 2011 se observaron dos movimientos de la tasa de interés. En el primer semestre, con el objeto de frenar el fuerte crecimiento de la demanda interna, el Banco Central do Brasil aumentó la tasa </w:t>
      </w:r>
      <w:proofErr w:type="spellStart"/>
      <w:r w:rsidR="00A3180C">
        <w:rPr>
          <w:sz w:val="24"/>
          <w:szCs w:val="24"/>
        </w:rPr>
        <w:t>SELIC</w:t>
      </w:r>
      <w:proofErr w:type="spellEnd"/>
      <w:r w:rsidR="00A3180C">
        <w:rPr>
          <w:sz w:val="24"/>
          <w:szCs w:val="24"/>
        </w:rPr>
        <w:t xml:space="preserve"> de un 10,75% en diciembre de 2010 a un 12,5% en julio de 2011.</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Además, en los primeros meses de 2011 el banco central estableció nuevas reglas prudenciales para los bancos. Se implementaron mayores exigencias de niveles de reservas de los bancos para operaciones de préstamos de mayor riesgo y plazos, se incrementó el encaje para </w:t>
      </w:r>
      <w:r w:rsidR="00A3180C">
        <w:rPr>
          <w:sz w:val="24"/>
          <w:szCs w:val="24"/>
        </w:rPr>
        <w:lastRenderedPageBreak/>
        <w:t xml:space="preserve">préstamos superiores a dos años para el financiamiento de automóviles o de créditos de consumo y se restablecieron los niveles anteriores a la crisis de las tasas de encaje obligatorio del sistema financiero en el banco central. La menor disponibilidad de liquidez se reflejó en una menor expansión de la base monetaria en 2011, que aumentó un 3,6%, en comparación con un alza del 24,6% registrada en 2010, y en el </w:t>
      </w:r>
      <w:proofErr w:type="spellStart"/>
      <w:r w:rsidR="00A3180C">
        <w:rPr>
          <w:sz w:val="24"/>
          <w:szCs w:val="24"/>
        </w:rPr>
        <w:t>M1</w:t>
      </w:r>
      <w:proofErr w:type="spellEnd"/>
      <w:r w:rsidR="00A3180C">
        <w:rPr>
          <w:sz w:val="24"/>
          <w:szCs w:val="24"/>
        </w:rPr>
        <w:t xml:space="preserve">, que creció un 1% en 2011 frente a un 12,6% en 2010.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A partir de agosto de 2011 la política monetaria cambió su dirección, al iniciarse un proceso de reducción de la tasa de interés </w:t>
      </w:r>
      <w:proofErr w:type="spellStart"/>
      <w:r w:rsidR="00A3180C">
        <w:rPr>
          <w:sz w:val="24"/>
          <w:szCs w:val="24"/>
        </w:rPr>
        <w:t>SELIC</w:t>
      </w:r>
      <w:proofErr w:type="spellEnd"/>
      <w:r w:rsidR="00A3180C">
        <w:rPr>
          <w:sz w:val="24"/>
          <w:szCs w:val="24"/>
        </w:rPr>
        <w:t xml:space="preserve"> con el objeto de mantener el crecimiento económico y restablecer nuevos niveles reales para las tasas de interés. Hasta diciembre de 2011, esta tasa se había reducido a un 11%.</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Debido a los movimientos de las reglas prudenciales y de tasas de interés, la tasa de expansión del crédito se mantuvo constante en 2011 con relación a 2010, en cerca del 16,8% en el año. No obstante, si bien el crecimiento del crédito total no se desaceleró, se reportaron mayores dificultades de acceso a nuevos préstamos, en particular, los préstamos de consumo para bienes durables. Estas dificultades pueden atribuirse al mayor monto de las provisiones requeridas para la expansión del crédito y a la incertidumbre respecto de la evolución de la tasa de interés.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En 2011 la política cambiaria se caracterizó por un continuo esfuerzo por contener la apreciación del real frente al dólar, en especial en los primeros meses. Además de una política de acumulación de reservas internacionales, que aumentaron de 288.600 millones de dólares en diciembre de 2010 a 353.400 millones de dólares en agosto de 2011, se utilizaron mecanismos fiscales, tales como el incremento de hasta un 6% de la tasa del impuesto sobre las operaciones financieras para operaciones de corto plazo y préstamos de hasta cinco años y medidas regulatorias en las posiciones de los bancos en operaciones de cambio. Esta preocupación fue evidente hasta julio de 2011, cuando el tipo de cambio bajó a 1,55 reales por dólar, nivel inferior al observado antes de la crisis de 2008 (1,56 reales por dólar). El real se apreció en términos reales un 7% en 2011.</w:t>
      </w:r>
    </w:p>
    <w:p w:rsidR="00000000" w:rsidRDefault="00EE2763">
      <w:pPr>
        <w:rPr>
          <w:sz w:val="24"/>
          <w:szCs w:val="24"/>
        </w:rPr>
      </w:pPr>
    </w:p>
    <w:p w:rsidR="00000000" w:rsidRDefault="00EF6266">
      <w:pPr>
        <w:rPr>
          <w:b/>
          <w:sz w:val="24"/>
          <w:szCs w:val="24"/>
        </w:rPr>
      </w:pPr>
      <w:r>
        <w:rPr>
          <w:sz w:val="24"/>
          <w:szCs w:val="24"/>
        </w:rPr>
        <w:tab/>
      </w:r>
      <w:r w:rsidR="00A3180C">
        <w:rPr>
          <w:sz w:val="24"/>
          <w:szCs w:val="24"/>
        </w:rPr>
        <w:t>Ese escenario cambió a partir de agosto, debido a la mayor incertidumbre internacional. El banco central prácticamente no hizo intervenciones en el resto del año. Hasta diciembre de 2011 las reservas internacionales se situaban en 352.600 millones de dólares. Por su parte, el tipo de cambio se devaluó, dado que el tipo de cambio nominal volvió a alcanzar 1,87 reales por dólar y el tipo de cambio real alcanzó un valor similar al registrado a fines de 2010.</w:t>
      </w:r>
      <w:r w:rsidR="00A3180C">
        <w:rPr>
          <w:b/>
          <w:sz w:val="24"/>
          <w:szCs w:val="24"/>
        </w:rPr>
        <w:t xml:space="preserve"> </w:t>
      </w:r>
    </w:p>
    <w:p w:rsidR="00000000" w:rsidRDefault="00EE2763">
      <w:pPr>
        <w:rPr>
          <w:b/>
          <w:sz w:val="24"/>
          <w:szCs w:val="24"/>
        </w:rPr>
      </w:pPr>
    </w:p>
    <w:p w:rsidR="00000000" w:rsidRDefault="00EE2763">
      <w:pPr>
        <w:rPr>
          <w:b/>
          <w:sz w:val="24"/>
          <w:szCs w:val="24"/>
        </w:rPr>
      </w:pPr>
    </w:p>
    <w:p w:rsidR="00000000" w:rsidRDefault="00EF6266">
      <w:pPr>
        <w:jc w:val="center"/>
        <w:rPr>
          <w:b/>
          <w:sz w:val="24"/>
          <w:szCs w:val="24"/>
        </w:rPr>
      </w:pPr>
      <w:r>
        <w:rPr>
          <w:b/>
          <w:sz w:val="24"/>
          <w:szCs w:val="24"/>
        </w:rPr>
        <w:t xml:space="preserve">3. </w:t>
      </w:r>
      <w:r w:rsidR="00A3180C">
        <w:rPr>
          <w:b/>
          <w:sz w:val="24"/>
          <w:szCs w:val="24"/>
        </w:rPr>
        <w:t>Evolución de las principales</w:t>
      </w:r>
      <w:r w:rsidR="00436AF1">
        <w:rPr>
          <w:b/>
          <w:sz w:val="24"/>
          <w:szCs w:val="24"/>
        </w:rPr>
        <w:t xml:space="preserve"> </w:t>
      </w:r>
      <w:r w:rsidR="00A3180C">
        <w:rPr>
          <w:b/>
          <w:sz w:val="24"/>
          <w:szCs w:val="24"/>
        </w:rPr>
        <w:t>variables</w:t>
      </w:r>
    </w:p>
    <w:p w:rsidR="00000000" w:rsidRDefault="00EE2763">
      <w:pPr>
        <w:rPr>
          <w:b/>
          <w:sz w:val="24"/>
          <w:szCs w:val="24"/>
        </w:rPr>
      </w:pPr>
    </w:p>
    <w:p w:rsidR="00000000" w:rsidRDefault="00A3180C">
      <w:pPr>
        <w:numPr>
          <w:ilvl w:val="0"/>
          <w:numId w:val="2"/>
        </w:numPr>
        <w:ind w:left="0" w:firstLine="0"/>
        <w:rPr>
          <w:b/>
          <w:sz w:val="24"/>
          <w:szCs w:val="24"/>
        </w:rPr>
      </w:pPr>
      <w:r>
        <w:rPr>
          <w:b/>
          <w:sz w:val="24"/>
          <w:szCs w:val="24"/>
        </w:rPr>
        <w:t xml:space="preserve">La actividad económica </w:t>
      </w:r>
    </w:p>
    <w:p w:rsidR="00000000" w:rsidRDefault="00EE2763">
      <w:pPr>
        <w:rPr>
          <w:b/>
          <w:sz w:val="24"/>
          <w:szCs w:val="24"/>
        </w:rPr>
      </w:pPr>
    </w:p>
    <w:p w:rsidR="00000000" w:rsidRDefault="00EF6266">
      <w:pPr>
        <w:rPr>
          <w:sz w:val="24"/>
          <w:szCs w:val="24"/>
        </w:rPr>
      </w:pPr>
      <w:r>
        <w:rPr>
          <w:sz w:val="24"/>
          <w:szCs w:val="24"/>
        </w:rPr>
        <w:tab/>
      </w:r>
      <w:r w:rsidR="00A3180C">
        <w:rPr>
          <w:sz w:val="24"/>
          <w:szCs w:val="24"/>
        </w:rPr>
        <w:t xml:space="preserve">Después del rápido crecimiento del PIB en 2010, la economía del Brasil anotó una fuerte desaceleración, sobre todo en el sector industrial. El PIB de 2011 creció un 2,7%, al registrar aumentos de un 3,9% en la actividad agropecuaria, un 1,6% en la industria y un 2,7% en el sector de servicios. </w:t>
      </w:r>
    </w:p>
    <w:p w:rsidR="00000000" w:rsidRDefault="00EF6266">
      <w:pPr>
        <w:rPr>
          <w:sz w:val="24"/>
          <w:szCs w:val="24"/>
        </w:rPr>
      </w:pPr>
      <w:r>
        <w:rPr>
          <w:sz w:val="24"/>
          <w:szCs w:val="24"/>
        </w:rPr>
        <w:lastRenderedPageBreak/>
        <w:tab/>
      </w:r>
      <w:r w:rsidR="00A3180C">
        <w:rPr>
          <w:sz w:val="24"/>
          <w:szCs w:val="24"/>
        </w:rPr>
        <w:t xml:space="preserve">En 2011 la cosecha de los principales productos agrícolas logró niveles sin precedentes, al llegar a un volumen de 159,9 millones de toneladas (6,9% superior a la cifra de 2010), </w:t>
      </w:r>
      <w:r w:rsidR="00A3180C" w:rsidRPr="00A3180C">
        <w:rPr>
          <w:sz w:val="24"/>
          <w:szCs w:val="24"/>
        </w:rPr>
        <w:t>en una superficie un 4,5% mayor</w:t>
      </w:r>
      <w:r w:rsidR="00A3180C">
        <w:rPr>
          <w:sz w:val="24"/>
          <w:szCs w:val="24"/>
        </w:rPr>
        <w:t xml:space="preserve">. El arroz y la soja lideraron esa cosecha, con variaciones de un 19,0% y un 9,2%, respectivamente, en relación con la cosecha anterior. A su vez, el dinamismo de la actividad pecuaria se vio afectado por la caída del 1,6% del sacrificio de bovinos, pese al crecimiento anual del </w:t>
      </w:r>
      <w:proofErr w:type="spellStart"/>
      <w:r w:rsidR="00A3180C">
        <w:rPr>
          <w:sz w:val="24"/>
          <w:szCs w:val="24"/>
        </w:rPr>
        <w:t>faenamiento</w:t>
      </w:r>
      <w:proofErr w:type="spellEnd"/>
      <w:r w:rsidR="00A3180C">
        <w:rPr>
          <w:sz w:val="24"/>
          <w:szCs w:val="24"/>
        </w:rPr>
        <w:t xml:space="preserve"> de aves (5,6%) y de cerdo (7,6%). El embargo ruso a la carne brasileña iniciado en junio de 2011 ha dificultado las exportaciones de este producto, pero por los mayores precios y la apertura de nuevos mercados los ingresos no se redujeron.</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La industria manufacturera brasileña prácticamente se estancó en 2011, con un alza anual del 0,1% (10,1% en 2010). Este bajo crecimiento se debió al desempeño de varios sectores industriales. La producción de autos creció un 0,7%, alcanzando los 3,4 millones de unidades. A su vez, el número de autos vendidos cayó un 2,8%, a 2,8 millones de unidades, y las exportaciones crecieron un 7,7%, llegando a 541.000 unidades, significativamente por debajo de las 734.000 unidades exportadas en 2005. La competencia de los autos importados fue un factor limitante para la producción brasileña, dado que se importaron 945.000 unidades en el año, un incremento del 33,6% sobre el año anterior y un nivel sin precedentes. Otros sectores industriales que tuvieron dificultades frente a la mayor competencia externa fueron los textiles, que acusaron una caída de su producción de un 14,5%, el papel y la celulosa, cuya reducción alcanzó el 10,0%, y el vestuario, que disminuyó un 4,5%. </w:t>
      </w:r>
    </w:p>
    <w:p w:rsidR="00000000" w:rsidRDefault="00EE2763">
      <w:pPr>
        <w:rPr>
          <w:sz w:val="24"/>
          <w:szCs w:val="24"/>
        </w:rPr>
      </w:pPr>
    </w:p>
    <w:p w:rsidR="00000000" w:rsidRDefault="00A3180C">
      <w:pPr>
        <w:rPr>
          <w:spacing w:val="-4"/>
          <w:sz w:val="24"/>
          <w:szCs w:val="24"/>
        </w:rPr>
      </w:pPr>
      <w:r w:rsidRPr="00A3180C">
        <w:rPr>
          <w:spacing w:val="-4"/>
          <w:sz w:val="24"/>
          <w:szCs w:val="24"/>
        </w:rPr>
        <w:tab/>
        <w:t>La actividad de la minería y la construcción igualmente se desaceleró, al registrar tasas de crecimiento del 3,2% y el 3,6%, respectivamente (en 2010 ambos sectores anotaron tasas de expansión superiores al 10%). Un crecimiento similar se produjo en el sector de servicios, en que el sector de comunicaciones creció un 4,9%, el comercio un 3,4% y los servicios financieros un 3,9%.</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Por el lado de la demanda, hubo cierta contención del crecimiento liderado por el consumo de las familias (4,1%) y el consumo de gobierno registró un crecimiento del 1,6% (4,6% en 2010). La inversión, que había anotado una rápida recuperación y expansión en 2010, con una tasa de variación del 21,3%, aumentó un 4,7% en 2011. Esta menor expansión se debió a la incertidumbre por el escenario externo y a la evolución del tipo de cambio y de la tasa de interés, así como a la evaluación de proyectos de expansión de infraestructura que están en fase de conclusión. La inversión en 2011 creció un 4,7%, con lo cual la tasa de inversión se ubicó en un 19,3% del PIB. </w:t>
      </w:r>
    </w:p>
    <w:p w:rsidR="00000000" w:rsidRDefault="00EE2763">
      <w:pPr>
        <w:rPr>
          <w:sz w:val="24"/>
          <w:szCs w:val="24"/>
        </w:rPr>
      </w:pPr>
    </w:p>
    <w:p w:rsidR="00000000" w:rsidRDefault="00EE2763">
      <w:pPr>
        <w:jc w:val="center"/>
        <w:rPr>
          <w:b/>
          <w:sz w:val="24"/>
          <w:szCs w:val="24"/>
        </w:rPr>
      </w:pPr>
    </w:p>
    <w:p w:rsidR="00000000" w:rsidRDefault="00EF6266">
      <w:pPr>
        <w:jc w:val="center"/>
        <w:rPr>
          <w:b/>
          <w:sz w:val="24"/>
          <w:szCs w:val="24"/>
        </w:rPr>
      </w:pPr>
      <w:r>
        <w:rPr>
          <w:b/>
          <w:sz w:val="24"/>
          <w:szCs w:val="24"/>
        </w:rPr>
        <w:t xml:space="preserve">4. </w:t>
      </w:r>
      <w:r w:rsidR="00A3180C">
        <w:rPr>
          <w:b/>
          <w:sz w:val="24"/>
          <w:szCs w:val="24"/>
        </w:rPr>
        <w:t>Los precios, las remuneraciones y empleo</w:t>
      </w:r>
    </w:p>
    <w:p w:rsidR="00000000" w:rsidRDefault="00EE2763">
      <w:pPr>
        <w:jc w:val="center"/>
        <w:rPr>
          <w:b/>
          <w:sz w:val="24"/>
          <w:szCs w:val="24"/>
        </w:rPr>
      </w:pPr>
    </w:p>
    <w:p w:rsidR="00000000" w:rsidRDefault="00A3180C">
      <w:pPr>
        <w:rPr>
          <w:sz w:val="24"/>
          <w:szCs w:val="24"/>
        </w:rPr>
      </w:pPr>
      <w:r>
        <w:rPr>
          <w:sz w:val="24"/>
          <w:szCs w:val="24"/>
        </w:rPr>
        <w:t xml:space="preserve">Pese al menor crecimiento, los resultados en el mercado laboral y la evolución de los precios fueron favorables. La tasa de desempleo media anual de 2011, que ascendió al 6,0%, fue la menor registrada desde 2002, cuando comenzó a aplicarse la nueva metodología de cálculo. Se registró una expansión de la población ocupada, que </w:t>
      </w:r>
      <w:r w:rsidR="00EF6266">
        <w:rPr>
          <w:sz w:val="24"/>
          <w:szCs w:val="24"/>
        </w:rPr>
        <w:t>llegó a un nivel sin precedentes de</w:t>
      </w:r>
      <w:r>
        <w:rPr>
          <w:sz w:val="24"/>
          <w:szCs w:val="24"/>
        </w:rPr>
        <w:t xml:space="preserve"> un 53% de la población en edad activa. La generación de nuevos empleos formales se desaceleró respecto de 2010, ya que se crearon 1,7 millones de nuevos puestos en 2011, en comparación con 2,2 millones en el año anterior. Esta baja de la expansión del empleo puede atribuirse al escaso </w:t>
      </w:r>
      <w:r>
        <w:rPr>
          <w:sz w:val="24"/>
          <w:szCs w:val="24"/>
        </w:rPr>
        <w:lastRenderedPageBreak/>
        <w:t>dinamismo de la industria y a los ajustes en los costos de los servicios, como los mayores sueldos de la mano de obra. En las remuneraciones cabe destacar que se mantuvo un incremento real de casi un 3% del rendimiento medio en 2011 en las regiones metropolitanas y de un 3,2% en el sector industrial. Se implementó la nueva regla de ajuste anual del salario mínimo según la variación de la inflación del año anterior más la variación del producto interno bruto de dos años anteriores. A partir de enero de 2012, el salario mínimo alcanzó los 622 reales, con una variación nominal del 14%.</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La evolución de la inflación en 2011 siguió la trayectoria esperada por las autoridades, dado que, después de registrar una aceleración en los últimos meses de 2010 y primer semestre de 2011, terminó el año dentro del límite superior de la meta, en un 6,5%, en buena medida debido a los precios de los alimentos, cuyos aumentos se desaceleraron sensiblemente con la cosecha récord, de un alza de los precios agrícolas al por mayor de un 25,6% en 2010 a un 3,1% en 2011. Más resistentes fueron los precios de la construcción, que durante el año acumularon una variación del 7,5%, porcentaje muy próximo al 7,8% observado en 2010. </w:t>
      </w:r>
    </w:p>
    <w:p w:rsidR="00000000" w:rsidRDefault="00EE2763">
      <w:pPr>
        <w:rPr>
          <w:sz w:val="24"/>
          <w:szCs w:val="24"/>
        </w:rPr>
      </w:pPr>
    </w:p>
    <w:p w:rsidR="00000000" w:rsidRDefault="00EE2763">
      <w:pPr>
        <w:rPr>
          <w:sz w:val="24"/>
          <w:szCs w:val="24"/>
        </w:rPr>
      </w:pPr>
    </w:p>
    <w:p w:rsidR="00000000" w:rsidRDefault="00EF6266">
      <w:pPr>
        <w:jc w:val="center"/>
        <w:rPr>
          <w:b/>
          <w:sz w:val="24"/>
          <w:szCs w:val="24"/>
        </w:rPr>
      </w:pPr>
      <w:r>
        <w:rPr>
          <w:b/>
          <w:sz w:val="24"/>
          <w:szCs w:val="24"/>
        </w:rPr>
        <w:t xml:space="preserve">5. </w:t>
      </w:r>
      <w:r w:rsidR="00A3180C">
        <w:rPr>
          <w:b/>
          <w:sz w:val="24"/>
          <w:szCs w:val="24"/>
        </w:rPr>
        <w:t>Sector externo</w:t>
      </w:r>
    </w:p>
    <w:p w:rsidR="00000000" w:rsidRDefault="00EE2763">
      <w:pPr>
        <w:jc w:val="center"/>
        <w:rPr>
          <w:b/>
          <w:sz w:val="24"/>
          <w:szCs w:val="24"/>
        </w:rPr>
      </w:pPr>
    </w:p>
    <w:p w:rsidR="00000000" w:rsidRDefault="00A3180C">
      <w:pPr>
        <w:rPr>
          <w:sz w:val="24"/>
          <w:szCs w:val="24"/>
        </w:rPr>
      </w:pPr>
      <w:r>
        <w:rPr>
          <w:sz w:val="24"/>
          <w:szCs w:val="24"/>
        </w:rPr>
        <w:t xml:space="preserve">En 2011, la balanza de pagos brasileña registró un mayor flujo de ingreso de divisas, gracias a un superávit comercial de bienes que creció un 48% (a 29.800 millones de dólares) y a una cuenta de capital y financiera neta de más de 111.000 millones de dólares, superando la cifra récord de 2010, en que ingresaron 99.700 millones de dólares. Sin embargo, la presión deficitaria de los servicios y renta se incrementó por un monto de 85.500 millones de dólares, es decir un 21,3% más que las cifras registradas en 2010.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el comercio de bienes, las exportaciones alcanzaron los 256.000 millones y las importaciones los 226.200 millones, con variaciones del 26,8% y del 24,5%, respectivamente. Sin embargo, la estructura de esa variación fue distinta puesto que el volumen de las exportaciones decreció (-3,7%), mientras que las importaciones registraron un volumen un 8,9% mayor. Esa evolución se debe a los altos precios de los productos básicos, cuyo monto en 2011 creció un 36,1%, alcanzando los 112.400 millones, equivalentes al 43,9% de las exportaciones. A su vez, las exportaciones de manufacturas aumentaron un 16,0%, hasta llegar a los 92.300 millones de dólares. En términos de mercados para los productos brasileños, China se consolidó como el principal destino, con un 17,3% del monto exportado en 2011. En 2008 esa participación era del 8,3%.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las importaciones brasileñas de 2011 cabe mencionar el incremento de las compras de bienes de consumo durables, que alcanzaron los 24.100 millones de dólares, entre las que se destacan las de automóviles, por 11.900 millones de dólares, con una variación anual del 38,6%. Las importaciones de bienes de capital crecieron un 16,8% y las de materias primas un 21,6% en relación con 2010.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las cuentas de servicios y renta se mantuvo el creciente egreso de utilidades enviadas al exterior, en un monto neto de 27.400 millones de dólares en 2011, frente a los 23.600 millones </w:t>
      </w:r>
      <w:r w:rsidR="00A3180C">
        <w:rPr>
          <w:sz w:val="24"/>
          <w:szCs w:val="24"/>
        </w:rPr>
        <w:lastRenderedPageBreak/>
        <w:t xml:space="preserve">de dólares correspondientes a 2010, y los gastos en turismo de brasileños en el exterior alcanzaron los 21.200 millones de dólares, con una variación del 29,3% en relación con 2010.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las cuentas de capital y financiera, la inversión extranjera directa alcanzó una cifra sin precedentes en 2011, con un ingreso neto de 66.600 millones de dólares, equivalentes a un incremento del 37,4% en relación con 2010. Esos recursos se dirigieron sobre todo a sectores como la agricultura (14,8% del total), metalurgia (10,4%), telecomunicaciones (9,6%), petróleo (8,6%) y comercio (8,2%). Cuatro países inversionistas representaron más del 60% del monto ingresado: Países Bajos (25,3%), Estados Unidos (12,8%), España (12,4%) y Japón (10,8%).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En cuanto a los préstamos externos, se observó el impacto de las medidas destinadas a controlar los recursos de corto plazo. En 2011 se acumuló un ingreso de solo 151 millones de dólares en préstamos inferiores a un año, en contraste con los 22.100 millones de dólares que ingresaron en 2010. A su vez, los préstamos de mayor plazo registraron un ingreso neto de 30.000 millones de dólares, frente a los 19.000 millones de dólares del año anterior.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La deuda externa total alcanzó los 297.300 millones de dólares a fines de 2011, un incremento del 15,7% con relación a 2010.</w:t>
      </w:r>
      <w:r w:rsidR="00436AF1">
        <w:rPr>
          <w:sz w:val="24"/>
          <w:szCs w:val="24"/>
        </w:rPr>
        <w:t xml:space="preserve"> </w:t>
      </w:r>
      <w:r w:rsidR="00A3180C">
        <w:rPr>
          <w:sz w:val="24"/>
          <w:szCs w:val="24"/>
        </w:rPr>
        <w:t xml:space="preserve">La deuda de corto plazo se redujo casi un tercio: de 57.300 millones de dólares a 39.000 millones de dólares y la deuda de largo plazo aumentó a 258.300 millones de dólares. El incremento del endeudamiento externo no se reflejó en un deterioro de los principales indicadores, por el incremento tanto de las exportaciones como de las reservas internacionales. La posición acreedora neta brasileña (la razón entre la deuda neta y el PIB) se incrementó de un 2,4% en 2010 a un 3,2% en 2011. </w:t>
      </w:r>
    </w:p>
    <w:p w:rsidR="00000000" w:rsidRDefault="00EE2763">
      <w:pPr>
        <w:rPr>
          <w:b/>
          <w:sz w:val="24"/>
          <w:szCs w:val="24"/>
        </w:rPr>
      </w:pPr>
    </w:p>
    <w:p w:rsidR="00000000" w:rsidRDefault="00EE2763">
      <w:pPr>
        <w:rPr>
          <w:b/>
          <w:sz w:val="24"/>
          <w:szCs w:val="24"/>
        </w:rPr>
      </w:pPr>
    </w:p>
    <w:p w:rsidR="00000000" w:rsidRDefault="00EF6266">
      <w:pPr>
        <w:jc w:val="center"/>
        <w:rPr>
          <w:b/>
          <w:sz w:val="24"/>
          <w:szCs w:val="24"/>
        </w:rPr>
      </w:pPr>
      <w:r>
        <w:rPr>
          <w:b/>
          <w:sz w:val="24"/>
          <w:szCs w:val="24"/>
        </w:rPr>
        <w:t xml:space="preserve">6. </w:t>
      </w:r>
      <w:r w:rsidR="00A3180C">
        <w:rPr>
          <w:b/>
          <w:sz w:val="24"/>
          <w:szCs w:val="24"/>
        </w:rPr>
        <w:t xml:space="preserve">Rasgos principales del primer trimestre de 2012 </w:t>
      </w:r>
    </w:p>
    <w:p w:rsidR="00000000" w:rsidRDefault="00EE2763">
      <w:pPr>
        <w:jc w:val="center"/>
        <w:rPr>
          <w:b/>
          <w:sz w:val="24"/>
          <w:szCs w:val="24"/>
        </w:rPr>
      </w:pPr>
    </w:p>
    <w:p w:rsidR="00000000" w:rsidRDefault="00A3180C">
      <w:pPr>
        <w:rPr>
          <w:sz w:val="24"/>
          <w:szCs w:val="24"/>
        </w:rPr>
      </w:pPr>
      <w:r>
        <w:rPr>
          <w:sz w:val="24"/>
          <w:szCs w:val="24"/>
        </w:rPr>
        <w:t>La búsqueda de una mayor tasa de crecimiento del producto fue el objetivo principal de la política económica, en especial frente a la volatilidad del escenario internacional. El gobierno ha buscado a través de varias iniciativas incentivar una mayor expansión de la producción industrial.</w:t>
      </w:r>
      <w:r w:rsidR="00436AF1">
        <w:rPr>
          <w:sz w:val="24"/>
          <w:szCs w:val="24"/>
        </w:rPr>
        <w:t xml:space="preserve"> </w:t>
      </w:r>
      <w:r>
        <w:rPr>
          <w:sz w:val="24"/>
          <w:szCs w:val="24"/>
        </w:rPr>
        <w:t xml:space="preserve">El programa Brasil Mayor, lanzado en agosto de 2011, incluyó la reducción de impuestos y de crédito para actividades industriales que promueven la innovación y la inversión. Además de la baja de la tasa de interés básica </w:t>
      </w:r>
      <w:proofErr w:type="spellStart"/>
      <w:r>
        <w:rPr>
          <w:sz w:val="24"/>
          <w:szCs w:val="24"/>
        </w:rPr>
        <w:t>SELIC</w:t>
      </w:r>
      <w:proofErr w:type="spellEnd"/>
      <w:r>
        <w:rPr>
          <w:sz w:val="24"/>
          <w:szCs w:val="24"/>
        </w:rPr>
        <w:t>, el gobierno ha estimulado a los bancos públicos a que reduzcan sus diferenciales en las operaciones de crédito, reduciendo así las tasas para los consumidores.</w:t>
      </w:r>
      <w:r w:rsidR="00436AF1">
        <w:rPr>
          <w:sz w:val="24"/>
          <w:szCs w:val="24"/>
        </w:rPr>
        <w:t xml:space="preserve">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 xml:space="preserve">Los resultados para los primeros meses no se muestran favorables a un crecimiento superior al observado en 2011. La producción industrial en el primer trimestre cayó un 2,7% en relación con el mismo período de 2010, como resultado de fuertes disminuciones en la producción de bienes de capital (-11,4%) y de bienes de consumo durables (-11,64%). La producción de automóviles de enero a abril de 2012 fue un 10,0% inferior al período equivalente del año anterior. En el sector externo, la balanza comercial hasta abril acumuló un superávit de 3.500 millones de dólares, un tercio inferior al registrado en el mismo período de 2011. Las exportaciones tuvieron un menor crecimiento en el cuatrimestre (4,5%) y las importaciones registraron una tasa un poco mayor (7,4%). </w:t>
      </w:r>
    </w:p>
    <w:p w:rsidR="00000000" w:rsidRDefault="00EF6266">
      <w:pPr>
        <w:rPr>
          <w:sz w:val="24"/>
          <w:szCs w:val="24"/>
        </w:rPr>
      </w:pPr>
      <w:r>
        <w:rPr>
          <w:sz w:val="24"/>
          <w:szCs w:val="24"/>
        </w:rPr>
        <w:lastRenderedPageBreak/>
        <w:tab/>
      </w:r>
      <w:r w:rsidR="00A3180C">
        <w:rPr>
          <w:sz w:val="24"/>
          <w:szCs w:val="24"/>
        </w:rPr>
        <w:t xml:space="preserve">Frente a ese escenario, en mayo, se anunciaron nuevas medidas para apoyar la venta de automóviles, con la reducción del impuesto y nuevas líneas de crédito a partir de recursos de los depósitos obligatorios de los bancos en el Banco Central. </w:t>
      </w:r>
    </w:p>
    <w:p w:rsidR="00000000" w:rsidRDefault="00EE2763">
      <w:pPr>
        <w:rPr>
          <w:sz w:val="24"/>
          <w:szCs w:val="24"/>
        </w:rPr>
      </w:pPr>
    </w:p>
    <w:p w:rsidR="00000000" w:rsidRDefault="00EF6266">
      <w:pPr>
        <w:rPr>
          <w:sz w:val="24"/>
          <w:szCs w:val="24"/>
        </w:rPr>
      </w:pPr>
      <w:r>
        <w:rPr>
          <w:sz w:val="24"/>
          <w:szCs w:val="24"/>
        </w:rPr>
        <w:tab/>
      </w:r>
      <w:r w:rsidR="00A3180C">
        <w:rPr>
          <w:sz w:val="24"/>
          <w:szCs w:val="24"/>
        </w:rPr>
        <w:t>Los datos del mercado laboral aún registran tasas de desempleo bajas (5,8% promedio en el primer trimestre) y la generación acumulada de enero a abril de 2012 del empleo formal alcanzó 702.000 nuevos puestos (alcanzando un nivel 1,85% superior al del mismo período de 2011). La inflación continuó su tendencia a la baja, registrando una tasa en los 12 meses hasta abril de 2012 del 5,1%.</w:t>
      </w:r>
      <w:r w:rsidR="00646857" w:rsidRPr="00BF2483">
        <w:rPr>
          <w:sz w:val="24"/>
          <w:szCs w:val="24"/>
        </w:rPr>
        <w:t xml:space="preserve"> </w:t>
      </w:r>
    </w:p>
    <w:sectPr w:rsidR="00000000" w:rsidSect="00EE2763">
      <w:headerReference w:type="default" r:id="rId8"/>
      <w:footerReference w:type="default" r:id="rId9"/>
      <w:pgSz w:w="12242" w:h="15842" w:code="1"/>
      <w:pgMar w:top="1939" w:right="1440" w:bottom="1440" w:left="1440" w:header="1134"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0686" w:rsidRDefault="00B70686" w:rsidP="0055431F">
      <w:r>
        <w:separator/>
      </w:r>
    </w:p>
  </w:endnote>
  <w:endnote w:type="continuationSeparator" w:id="0">
    <w:p w:rsidR="00B70686" w:rsidRDefault="00B70686" w:rsidP="005543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0686" w:rsidRDefault="00B70686"/>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0686" w:rsidRDefault="00B70686" w:rsidP="0055431F">
      <w:r>
        <w:separator/>
      </w:r>
    </w:p>
  </w:footnote>
  <w:footnote w:type="continuationSeparator" w:id="0">
    <w:p w:rsidR="00B70686" w:rsidRDefault="00B70686" w:rsidP="0055431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405698"/>
      <w:docPartObj>
        <w:docPartGallery w:val="Page Numbers (Top of Page)"/>
        <w:docPartUnique/>
      </w:docPartObj>
    </w:sdtPr>
    <w:sdtContent>
      <w:p w:rsidR="00B70686" w:rsidRDefault="00A3180C">
        <w:pPr>
          <w:pStyle w:val="Header"/>
          <w:jc w:val="center"/>
        </w:pPr>
        <w:r>
          <w:fldChar w:fldCharType="begin"/>
        </w:r>
        <w:r w:rsidR="00B70686">
          <w:instrText xml:space="preserve"> PAGE   \* MERGEFORMAT </w:instrText>
        </w:r>
        <w:r>
          <w:fldChar w:fldCharType="separate"/>
        </w:r>
        <w:r w:rsidR="00EE2763">
          <w:rPr>
            <w:noProof/>
          </w:rPr>
          <w:t>7</w:t>
        </w:r>
        <w:r>
          <w:fldChar w:fldCharType="end"/>
        </w:r>
      </w:p>
    </w:sdtContent>
  </w:sdt>
  <w:p w:rsidR="00B70686" w:rsidRDefault="00B70686"/>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E4C09"/>
    <w:multiLevelType w:val="hybridMultilevel"/>
    <w:tmpl w:val="C20E2542"/>
    <w:lvl w:ilvl="0" w:tplc="D2EEAF5A">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990DC9"/>
    <w:multiLevelType w:val="hybridMultilevel"/>
    <w:tmpl w:val="313E6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B9F6955"/>
    <w:multiLevelType w:val="hybridMultilevel"/>
    <w:tmpl w:val="57023B9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revisionView w:markup="0"/>
  <w:defaultTabStop w:val="708"/>
  <w:hyphenationZone w:val="425"/>
  <w:characterSpacingControl w:val="doNotCompress"/>
  <w:footnotePr>
    <w:footnote w:id="-1"/>
    <w:footnote w:id="0"/>
  </w:footnotePr>
  <w:endnotePr>
    <w:endnote w:id="-1"/>
    <w:endnote w:id="0"/>
  </w:endnotePr>
  <w:compat/>
  <w:rsids>
    <w:rsidRoot w:val="00CB6D88"/>
    <w:rsid w:val="00017E2E"/>
    <w:rsid w:val="00037D20"/>
    <w:rsid w:val="00076830"/>
    <w:rsid w:val="000A37FC"/>
    <w:rsid w:val="000B5985"/>
    <w:rsid w:val="000C0181"/>
    <w:rsid w:val="000D5D9C"/>
    <w:rsid w:val="00125FE5"/>
    <w:rsid w:val="00136EB4"/>
    <w:rsid w:val="00180116"/>
    <w:rsid w:val="00183E56"/>
    <w:rsid w:val="00186445"/>
    <w:rsid w:val="00191DCA"/>
    <w:rsid w:val="001A6C8A"/>
    <w:rsid w:val="002161F8"/>
    <w:rsid w:val="002167B2"/>
    <w:rsid w:val="00250EF2"/>
    <w:rsid w:val="00252796"/>
    <w:rsid w:val="00270AF9"/>
    <w:rsid w:val="00271048"/>
    <w:rsid w:val="00271CC8"/>
    <w:rsid w:val="00294E54"/>
    <w:rsid w:val="002B0FBC"/>
    <w:rsid w:val="002C2B4A"/>
    <w:rsid w:val="002C412C"/>
    <w:rsid w:val="002C7808"/>
    <w:rsid w:val="002D2B8A"/>
    <w:rsid w:val="002D2C42"/>
    <w:rsid w:val="002E1BCF"/>
    <w:rsid w:val="002E5E2E"/>
    <w:rsid w:val="002F1C7B"/>
    <w:rsid w:val="002F378C"/>
    <w:rsid w:val="003317EA"/>
    <w:rsid w:val="00334D3B"/>
    <w:rsid w:val="00334FFD"/>
    <w:rsid w:val="00363CEF"/>
    <w:rsid w:val="00374B30"/>
    <w:rsid w:val="003B40F0"/>
    <w:rsid w:val="003F0564"/>
    <w:rsid w:val="004130A4"/>
    <w:rsid w:val="004161E4"/>
    <w:rsid w:val="00425CE5"/>
    <w:rsid w:val="00436AF1"/>
    <w:rsid w:val="00452178"/>
    <w:rsid w:val="00464A7A"/>
    <w:rsid w:val="004A11A7"/>
    <w:rsid w:val="004A518A"/>
    <w:rsid w:val="004B179F"/>
    <w:rsid w:val="004C413A"/>
    <w:rsid w:val="004D6D56"/>
    <w:rsid w:val="004D7E95"/>
    <w:rsid w:val="004E65BB"/>
    <w:rsid w:val="004F4095"/>
    <w:rsid w:val="00520CEA"/>
    <w:rsid w:val="00533274"/>
    <w:rsid w:val="0054006B"/>
    <w:rsid w:val="00540851"/>
    <w:rsid w:val="00546A18"/>
    <w:rsid w:val="0055431F"/>
    <w:rsid w:val="00554C23"/>
    <w:rsid w:val="005568AA"/>
    <w:rsid w:val="00580D05"/>
    <w:rsid w:val="005840CA"/>
    <w:rsid w:val="00596B89"/>
    <w:rsid w:val="005D1C83"/>
    <w:rsid w:val="005D7BC8"/>
    <w:rsid w:val="005E28FD"/>
    <w:rsid w:val="00605BCE"/>
    <w:rsid w:val="00632E14"/>
    <w:rsid w:val="006347EC"/>
    <w:rsid w:val="00634A44"/>
    <w:rsid w:val="00646857"/>
    <w:rsid w:val="00646FAC"/>
    <w:rsid w:val="0067131A"/>
    <w:rsid w:val="00684E8D"/>
    <w:rsid w:val="00692105"/>
    <w:rsid w:val="006936BE"/>
    <w:rsid w:val="006B24F0"/>
    <w:rsid w:val="006C445F"/>
    <w:rsid w:val="006F10DE"/>
    <w:rsid w:val="00706642"/>
    <w:rsid w:val="00711548"/>
    <w:rsid w:val="0072091F"/>
    <w:rsid w:val="0072702D"/>
    <w:rsid w:val="0074159E"/>
    <w:rsid w:val="007660B2"/>
    <w:rsid w:val="007716B1"/>
    <w:rsid w:val="007A1DEA"/>
    <w:rsid w:val="007D4EEE"/>
    <w:rsid w:val="007E0B04"/>
    <w:rsid w:val="007E3499"/>
    <w:rsid w:val="007E7261"/>
    <w:rsid w:val="007F1C4B"/>
    <w:rsid w:val="007F2404"/>
    <w:rsid w:val="00860AA3"/>
    <w:rsid w:val="008A1A5D"/>
    <w:rsid w:val="008A3BB7"/>
    <w:rsid w:val="008B6F0A"/>
    <w:rsid w:val="008D2AFA"/>
    <w:rsid w:val="008D7425"/>
    <w:rsid w:val="00933E9F"/>
    <w:rsid w:val="009429E6"/>
    <w:rsid w:val="00957D19"/>
    <w:rsid w:val="00964C5C"/>
    <w:rsid w:val="0098474A"/>
    <w:rsid w:val="009D1F37"/>
    <w:rsid w:val="009E086B"/>
    <w:rsid w:val="009F7647"/>
    <w:rsid w:val="00A3180C"/>
    <w:rsid w:val="00A36EFC"/>
    <w:rsid w:val="00A44274"/>
    <w:rsid w:val="00A455FA"/>
    <w:rsid w:val="00A45D1A"/>
    <w:rsid w:val="00A73F0E"/>
    <w:rsid w:val="00A83B73"/>
    <w:rsid w:val="00AB79BC"/>
    <w:rsid w:val="00AC6AED"/>
    <w:rsid w:val="00AD304C"/>
    <w:rsid w:val="00AF6B9C"/>
    <w:rsid w:val="00AF7730"/>
    <w:rsid w:val="00B14B59"/>
    <w:rsid w:val="00B2443B"/>
    <w:rsid w:val="00B33973"/>
    <w:rsid w:val="00B52684"/>
    <w:rsid w:val="00B52A86"/>
    <w:rsid w:val="00B65A2C"/>
    <w:rsid w:val="00B70686"/>
    <w:rsid w:val="00B71E02"/>
    <w:rsid w:val="00B75EE5"/>
    <w:rsid w:val="00B91A4E"/>
    <w:rsid w:val="00B932F3"/>
    <w:rsid w:val="00B951EB"/>
    <w:rsid w:val="00BA4D05"/>
    <w:rsid w:val="00BC4BAC"/>
    <w:rsid w:val="00BC5985"/>
    <w:rsid w:val="00BE4E72"/>
    <w:rsid w:val="00BF2483"/>
    <w:rsid w:val="00C0007D"/>
    <w:rsid w:val="00C05D93"/>
    <w:rsid w:val="00C15C8F"/>
    <w:rsid w:val="00C165B1"/>
    <w:rsid w:val="00C304D8"/>
    <w:rsid w:val="00C47E04"/>
    <w:rsid w:val="00C56BCF"/>
    <w:rsid w:val="00C653C2"/>
    <w:rsid w:val="00C8611F"/>
    <w:rsid w:val="00C92BB4"/>
    <w:rsid w:val="00CA18D6"/>
    <w:rsid w:val="00CB5C33"/>
    <w:rsid w:val="00CB6D88"/>
    <w:rsid w:val="00CE6D2B"/>
    <w:rsid w:val="00CF1CD0"/>
    <w:rsid w:val="00D056BC"/>
    <w:rsid w:val="00D133C0"/>
    <w:rsid w:val="00D1574D"/>
    <w:rsid w:val="00D204E4"/>
    <w:rsid w:val="00D20BEB"/>
    <w:rsid w:val="00D22CEB"/>
    <w:rsid w:val="00D231EC"/>
    <w:rsid w:val="00D2799B"/>
    <w:rsid w:val="00D317F8"/>
    <w:rsid w:val="00D643A0"/>
    <w:rsid w:val="00D820FB"/>
    <w:rsid w:val="00D868A6"/>
    <w:rsid w:val="00DE4D6E"/>
    <w:rsid w:val="00E46693"/>
    <w:rsid w:val="00E65700"/>
    <w:rsid w:val="00E73F12"/>
    <w:rsid w:val="00E81E78"/>
    <w:rsid w:val="00E912A3"/>
    <w:rsid w:val="00EB2CAB"/>
    <w:rsid w:val="00EC0614"/>
    <w:rsid w:val="00ED5D97"/>
    <w:rsid w:val="00ED721F"/>
    <w:rsid w:val="00EE2763"/>
    <w:rsid w:val="00EE31AF"/>
    <w:rsid w:val="00EF6266"/>
    <w:rsid w:val="00F042F4"/>
    <w:rsid w:val="00F62104"/>
    <w:rsid w:val="00F64096"/>
    <w:rsid w:val="00F77905"/>
    <w:rsid w:val="00FD5207"/>
    <w:rsid w:val="00FD795D"/>
    <w:rsid w:val="00FE46C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702D"/>
    <w:pPr>
      <w:jc w:val="both"/>
    </w:pPr>
    <w:rPr>
      <w:rFonts w:ascii="Times New Roman" w:hAnsi="Times New Roman"/>
      <w:sz w:val="22"/>
      <w:szCs w:val="22"/>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70686"/>
    <w:pPr>
      <w:tabs>
        <w:tab w:val="center" w:pos="4680"/>
        <w:tab w:val="right" w:pos="9360"/>
      </w:tabs>
    </w:pPr>
  </w:style>
  <w:style w:type="character" w:customStyle="1" w:styleId="HeaderChar">
    <w:name w:val="Header Char"/>
    <w:basedOn w:val="DefaultParagraphFont"/>
    <w:link w:val="Header"/>
    <w:uiPriority w:val="99"/>
    <w:rsid w:val="00B70686"/>
    <w:rPr>
      <w:rFonts w:ascii="Times New Roman" w:hAnsi="Times New Roman"/>
      <w:sz w:val="22"/>
      <w:szCs w:val="22"/>
      <w:lang w:val="es-ES"/>
    </w:rPr>
  </w:style>
  <w:style w:type="paragraph" w:styleId="BalloonText">
    <w:name w:val="Balloon Text"/>
    <w:basedOn w:val="Normal"/>
    <w:link w:val="BalloonTextChar"/>
    <w:uiPriority w:val="99"/>
    <w:semiHidden/>
    <w:unhideWhenUsed/>
    <w:rsid w:val="0072702D"/>
    <w:rPr>
      <w:rFonts w:ascii="Tahoma" w:hAnsi="Tahoma" w:cs="Tahoma"/>
      <w:sz w:val="16"/>
      <w:szCs w:val="16"/>
    </w:rPr>
  </w:style>
  <w:style w:type="character" w:customStyle="1" w:styleId="BalloonTextChar">
    <w:name w:val="Balloon Text Char"/>
    <w:basedOn w:val="DefaultParagraphFont"/>
    <w:link w:val="BalloonText"/>
    <w:uiPriority w:val="99"/>
    <w:semiHidden/>
    <w:rsid w:val="0072702D"/>
    <w:rPr>
      <w:rFonts w:ascii="Tahoma" w:hAnsi="Tahoma" w:cs="Tahoma"/>
      <w:sz w:val="16"/>
      <w:szCs w:val="16"/>
      <w:lang w:val="es-ES"/>
    </w:rPr>
  </w:style>
  <w:style w:type="paragraph" w:styleId="Footer">
    <w:name w:val="footer"/>
    <w:basedOn w:val="Normal"/>
    <w:link w:val="FooterChar"/>
    <w:uiPriority w:val="99"/>
    <w:semiHidden/>
    <w:unhideWhenUsed/>
    <w:rsid w:val="00B70686"/>
    <w:pPr>
      <w:tabs>
        <w:tab w:val="center" w:pos="4680"/>
        <w:tab w:val="right" w:pos="9360"/>
      </w:tabs>
    </w:pPr>
  </w:style>
  <w:style w:type="character" w:customStyle="1" w:styleId="FooterChar">
    <w:name w:val="Footer Char"/>
    <w:basedOn w:val="DefaultParagraphFont"/>
    <w:link w:val="Footer"/>
    <w:uiPriority w:val="99"/>
    <w:semiHidden/>
    <w:rsid w:val="00B70686"/>
    <w:rPr>
      <w:rFonts w:ascii="Times New Roman" w:hAnsi="Times New Roman"/>
      <w:sz w:val="22"/>
      <w:szCs w:val="22"/>
      <w:lang w:val="es-ES"/>
    </w:rPr>
  </w:style>
  <w:style w:type="paragraph" w:styleId="Revision">
    <w:name w:val="Revision"/>
    <w:hidden/>
    <w:uiPriority w:val="99"/>
    <w:semiHidden/>
    <w:rsid w:val="00B71E02"/>
    <w:rPr>
      <w:sz w:val="22"/>
      <w:szCs w:val="22"/>
      <w:lang w:val="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9881D5-16E5-4D7D-99FD-107017777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Pages>
  <Words>3048</Words>
  <Characters>16764</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María Letelier</dc:creator>
  <cp:lastModifiedBy>Marcela Fernandez</cp:lastModifiedBy>
  <cp:revision>7</cp:revision>
  <cp:lastPrinted>2012-06-13T22:21:00Z</cp:lastPrinted>
  <dcterms:created xsi:type="dcterms:W3CDTF">2012-06-13T22:10:00Z</dcterms:created>
  <dcterms:modified xsi:type="dcterms:W3CDTF">2012-06-13T22:34:00Z</dcterms:modified>
</cp:coreProperties>
</file>