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13F2" w:rsidRPr="00481FEF" w:rsidRDefault="003B7410" w:rsidP="00481FEF">
      <w:pPr>
        <w:jc w:val="center"/>
        <w:rPr>
          <w:b/>
          <w:lang w:val="es-ES"/>
        </w:rPr>
      </w:pPr>
      <w:r w:rsidRPr="00481FEF">
        <w:rPr>
          <w:b/>
          <w:lang w:val="es-ES"/>
        </w:rPr>
        <w:t>GUATEMALA</w:t>
      </w:r>
    </w:p>
    <w:p w:rsidR="00481FEF" w:rsidRPr="00481FEF" w:rsidRDefault="00481FEF" w:rsidP="00481FEF">
      <w:pPr>
        <w:rPr>
          <w:lang w:val="es-ES"/>
        </w:rPr>
      </w:pPr>
    </w:p>
    <w:p w:rsidR="00481FEF" w:rsidRPr="00481FEF" w:rsidRDefault="00481FEF" w:rsidP="00481FEF">
      <w:pPr>
        <w:rPr>
          <w:lang w:val="es-ES"/>
        </w:rPr>
      </w:pPr>
    </w:p>
    <w:p w:rsidR="000113F2" w:rsidRPr="00481FEF" w:rsidRDefault="003B7410" w:rsidP="00481FEF">
      <w:pPr>
        <w:jc w:val="center"/>
        <w:rPr>
          <w:b/>
        </w:rPr>
      </w:pPr>
      <w:r w:rsidRPr="00481FEF">
        <w:rPr>
          <w:b/>
        </w:rPr>
        <w:t>1. Rasgos generales de la evolución reciente</w:t>
      </w:r>
    </w:p>
    <w:p w:rsidR="00481FEF" w:rsidRPr="00481FEF" w:rsidRDefault="00481FEF" w:rsidP="00481FEF">
      <w:pPr>
        <w:rPr>
          <w:lang w:val="es-ES"/>
        </w:rPr>
      </w:pPr>
    </w:p>
    <w:p w:rsidR="000113F2" w:rsidRPr="00481FEF" w:rsidRDefault="003B7410" w:rsidP="00481FEF">
      <w:pPr>
        <w:rPr>
          <w:lang w:val="es-ES"/>
        </w:rPr>
      </w:pPr>
      <w:r w:rsidRPr="00481FEF">
        <w:rPr>
          <w:lang w:val="es-ES"/>
        </w:rPr>
        <w:t xml:space="preserve">En 2011, el PIB real creció un 3,9%, un punto porcentual más que en 2010 (2,9%), impulsado por el buen desempeño de las exportaciones y de la demanda interna. </w:t>
      </w:r>
      <w:r w:rsidR="003A46A1" w:rsidRPr="00481FEF">
        <w:rPr>
          <w:lang w:val="es-ES"/>
        </w:rPr>
        <w:t>Este incremento</w:t>
      </w:r>
      <w:r w:rsidRPr="00481FEF">
        <w:rPr>
          <w:lang w:val="es-ES"/>
        </w:rPr>
        <w:t xml:space="preserve"> consolidó la recuperación tras el magro crecimiento económico registrado en 2009 (0,5%). La inflación interanual llegó al 6,2% (</w:t>
      </w:r>
      <w:r w:rsidR="003A46A1" w:rsidRPr="00481FEF">
        <w:rPr>
          <w:lang w:val="es-ES"/>
        </w:rPr>
        <w:t xml:space="preserve">ligeramente </w:t>
      </w:r>
      <w:r w:rsidRPr="00481FEF">
        <w:rPr>
          <w:lang w:val="es-ES"/>
        </w:rPr>
        <w:t>por encima del límite superior de la meta de entre un 4% y un 6%) y el déficit fiscal alcanzó el 2,8% del PIB, po</w:t>
      </w:r>
      <w:r w:rsidR="000113F2" w:rsidRPr="00481FEF">
        <w:rPr>
          <w:lang w:val="es-ES"/>
        </w:rPr>
        <w:t>r</w:t>
      </w:r>
      <w:r w:rsidRPr="00481FEF">
        <w:rPr>
          <w:lang w:val="es-ES"/>
        </w:rPr>
        <w:t>centaje levemente menor al de 2010 (3,3%). El déficit de la cuenta corriente de la balanza de pagos llegó al 3,1% del PIB, el doble de lo observado en 2010.</w:t>
      </w:r>
      <w:r w:rsidR="000113F2" w:rsidRPr="00481FEF">
        <w:rPr>
          <w:lang w:val="es-ES"/>
        </w:rPr>
        <w:t xml:space="preserve"> </w:t>
      </w:r>
      <w:r w:rsidRPr="00481FEF">
        <w:rPr>
          <w:lang w:val="es-ES"/>
        </w:rPr>
        <w:t xml:space="preserve">En noviembre de 2011, </w:t>
      </w:r>
      <w:bookmarkStart w:id="0" w:name="OLE_LINK1"/>
      <w:r w:rsidRPr="00481FEF">
        <w:rPr>
          <w:lang w:val="es-ES"/>
        </w:rPr>
        <w:t>Otto Pérez Molina</w:t>
      </w:r>
      <w:r w:rsidR="000113F2" w:rsidRPr="00481FEF">
        <w:rPr>
          <w:lang w:val="es-ES"/>
        </w:rPr>
        <w:t>,</w:t>
      </w:r>
      <w:r w:rsidRPr="00481FEF">
        <w:rPr>
          <w:lang w:val="es-ES"/>
        </w:rPr>
        <w:t xml:space="preserve"> </w:t>
      </w:r>
      <w:bookmarkEnd w:id="0"/>
      <w:r w:rsidR="000113F2" w:rsidRPr="00481FEF">
        <w:rPr>
          <w:lang w:val="es-ES"/>
        </w:rPr>
        <w:t>d</w:t>
      </w:r>
      <w:r w:rsidRPr="00481FEF">
        <w:rPr>
          <w:lang w:val="es-ES"/>
        </w:rPr>
        <w:t xml:space="preserve">el Partido Patriota (PP), </w:t>
      </w:r>
      <w:r w:rsidR="000113F2" w:rsidRPr="00481FEF">
        <w:rPr>
          <w:lang w:val="es-ES"/>
        </w:rPr>
        <w:t xml:space="preserve">resultó </w:t>
      </w:r>
      <w:r w:rsidR="0075176C" w:rsidRPr="00481FEF">
        <w:rPr>
          <w:lang w:val="es-ES"/>
        </w:rPr>
        <w:t>elegido</w:t>
      </w:r>
      <w:r w:rsidR="000113F2" w:rsidRPr="00481FEF">
        <w:rPr>
          <w:lang w:val="es-ES"/>
        </w:rPr>
        <w:t xml:space="preserve"> presidente de Guatemala, </w:t>
      </w:r>
      <w:r w:rsidRPr="00481FEF">
        <w:rPr>
          <w:lang w:val="es-ES"/>
        </w:rPr>
        <w:t>aunque no obtuvo mayoría en el Congreso de la República. Su llegada a la presidencia se dio en un ambiente de incertidumbre sobre la recuperación económica mundial, pero de optimismo a nivel interno.</w:t>
      </w:r>
    </w:p>
    <w:p w:rsidR="00481FEF" w:rsidRPr="00481FEF" w:rsidRDefault="00481FEF" w:rsidP="00481FEF"/>
    <w:p w:rsidR="00481FEF" w:rsidRPr="00481FEF" w:rsidRDefault="00481FEF" w:rsidP="00481FEF"/>
    <w:p w:rsidR="000113F2" w:rsidRPr="00481FEF" w:rsidRDefault="003B7410" w:rsidP="00481FEF">
      <w:pPr>
        <w:jc w:val="center"/>
        <w:rPr>
          <w:b/>
        </w:rPr>
      </w:pPr>
      <w:r w:rsidRPr="00481FEF">
        <w:rPr>
          <w:b/>
        </w:rPr>
        <w:t>2. La política económica</w:t>
      </w:r>
    </w:p>
    <w:p w:rsidR="00481FEF" w:rsidRPr="00481FEF" w:rsidRDefault="00481FEF" w:rsidP="00481FEF">
      <w:pPr>
        <w:rPr>
          <w:lang w:val="es-ES"/>
        </w:rPr>
      </w:pPr>
    </w:p>
    <w:p w:rsidR="000113F2" w:rsidRPr="00481FEF" w:rsidRDefault="003B7410" w:rsidP="00481FEF">
      <w:pPr>
        <w:rPr>
          <w:lang w:val="es-ES"/>
        </w:rPr>
      </w:pPr>
      <w:r w:rsidRPr="00481FEF">
        <w:rPr>
          <w:lang w:val="es-ES"/>
        </w:rPr>
        <w:t>En 2011, la política económica favoreció la estabilidad macroeconómica y la política monetaria restrictiva contrarrestó los efectos del aumento del gasto corriente derivado del período electoral, los compromisos sociales y los gastos originados por los efectos negativos de la depresión tropical 12-E sobre la economía.</w:t>
      </w:r>
    </w:p>
    <w:p w:rsidR="00481FEF" w:rsidRPr="00481FEF" w:rsidRDefault="00481FEF" w:rsidP="00481FEF">
      <w:pPr>
        <w:rPr>
          <w:lang w:val="es-ES"/>
        </w:rPr>
      </w:pPr>
    </w:p>
    <w:p w:rsidR="000113F2" w:rsidRPr="00481FEF" w:rsidRDefault="003B7410" w:rsidP="00481FEF">
      <w:pPr>
        <w:rPr>
          <w:b/>
          <w:lang w:val="es-ES"/>
        </w:rPr>
      </w:pPr>
      <w:r w:rsidRPr="00481FEF">
        <w:rPr>
          <w:b/>
          <w:lang w:val="es-ES"/>
        </w:rPr>
        <w:t xml:space="preserve">a) </w:t>
      </w:r>
      <w:r w:rsidR="000113F2" w:rsidRPr="00481FEF">
        <w:rPr>
          <w:b/>
          <w:lang w:val="es-ES"/>
        </w:rPr>
        <w:tab/>
      </w:r>
      <w:r w:rsidRPr="00481FEF">
        <w:rPr>
          <w:b/>
          <w:lang w:val="es-ES"/>
        </w:rPr>
        <w:t>Política fiscal</w:t>
      </w:r>
    </w:p>
    <w:p w:rsidR="00481FEF" w:rsidRPr="00481FEF" w:rsidRDefault="00481FEF" w:rsidP="00481FEF">
      <w:pPr>
        <w:rPr>
          <w:lang w:val="es-ES"/>
        </w:rPr>
      </w:pPr>
    </w:p>
    <w:p w:rsidR="000113F2" w:rsidRDefault="009221A1" w:rsidP="00481FEF">
      <w:pPr>
        <w:rPr>
          <w:lang w:val="es-ES"/>
        </w:rPr>
      </w:pPr>
      <w:r>
        <w:rPr>
          <w:lang w:val="es-ES"/>
        </w:rPr>
        <w:tab/>
      </w:r>
      <w:r w:rsidR="003B7410" w:rsidRPr="00481FEF">
        <w:rPr>
          <w:lang w:val="es-ES"/>
        </w:rPr>
        <w:t xml:space="preserve">El déficit del gobierno central se ubicó en un 2,8% del PIB (frente al 3,3% de 2010). Los ingresos totales reales del gobierno central registraron un aumento del 8,7%, mayor que el crecimiento alcanzado en 2010 (5,8%). La recaudación tributaria creció un 9,2%. Los impuestos directos, en términos reales, se elevaron un 15,9% (frente a un 0,9% en 2010), favorecidos por un incremento </w:t>
      </w:r>
      <w:r w:rsidR="00F04D6B" w:rsidRPr="00481FEF">
        <w:rPr>
          <w:lang w:val="es-ES"/>
        </w:rPr>
        <w:t>de</w:t>
      </w:r>
      <w:r w:rsidR="003B7410" w:rsidRPr="00481FEF">
        <w:rPr>
          <w:lang w:val="es-ES"/>
        </w:rPr>
        <w:t xml:space="preserve"> la captación del impuesto sobre la renta (22,4%). Los impuestos indirectos crecieron un 6,3% (frente a un 5% en 2010), especialmente debido al desempeño positivo del aumento </w:t>
      </w:r>
      <w:r w:rsidR="00F04D6B" w:rsidRPr="00481FEF">
        <w:rPr>
          <w:lang w:val="es-ES"/>
        </w:rPr>
        <w:t>de</w:t>
      </w:r>
      <w:r w:rsidR="003B7410" w:rsidRPr="00481FEF">
        <w:rPr>
          <w:lang w:val="es-ES"/>
        </w:rPr>
        <w:t xml:space="preserve"> la recaudación del IVA sobre las importaciones (8,3%). Con ello, la carga tributaria alcanzó una cifra equivalente al 11,4% del PIB, medio punto porcentual </w:t>
      </w:r>
      <w:r w:rsidR="0046368F" w:rsidRPr="00481FEF">
        <w:rPr>
          <w:lang w:val="es-ES"/>
        </w:rPr>
        <w:t xml:space="preserve">superior </w:t>
      </w:r>
      <w:r w:rsidR="003B7410" w:rsidRPr="00481FEF">
        <w:rPr>
          <w:lang w:val="es-ES"/>
        </w:rPr>
        <w:t xml:space="preserve">a la de 2010 (10,8%). En parte, esto se debió al dinamismo económico y a la aprobación a fines de 2010 de una ley contra la evasión fiscal, a pesar de que la ley </w:t>
      </w:r>
      <w:proofErr w:type="spellStart"/>
      <w:r w:rsidR="003B7410" w:rsidRPr="00481FEF">
        <w:rPr>
          <w:lang w:val="es-ES"/>
        </w:rPr>
        <w:t>antievasión</w:t>
      </w:r>
      <w:proofErr w:type="spellEnd"/>
      <w:r w:rsidR="003B7410" w:rsidRPr="00481FEF">
        <w:rPr>
          <w:lang w:val="es-ES"/>
        </w:rPr>
        <w:t xml:space="preserve"> II se estancó en el Congreso en 2011. Estos ingresos están por debajo de lo estipulado en los Acuerdos de Paz (13,2% del PIB) y debe recordarse que los requerimientos de ingresos han aumentado, en especial como consecuencia de una mayor recurrencia de eventos climáticos como la depresión tropical 12-E. Por su parte, los gastos públicos totales reales aumentaron un 4,1%, lo que se explicó principalmente por el incremento de los gastos corrientes (5,3%). En tanto, los gastos de capital apenas se elevaron un 1%, lo que se compara negativamente con lo observado en 2010 (5,1%).</w:t>
      </w:r>
    </w:p>
    <w:p w:rsidR="009221A1" w:rsidRPr="00481FEF" w:rsidRDefault="009221A1" w:rsidP="00481FEF">
      <w:pPr>
        <w:rPr>
          <w:lang w:val="es-ES"/>
        </w:rPr>
      </w:pPr>
    </w:p>
    <w:p w:rsidR="000113F2" w:rsidRDefault="009221A1" w:rsidP="00481FEF">
      <w:pPr>
        <w:rPr>
          <w:lang w:val="es-ES"/>
        </w:rPr>
      </w:pPr>
      <w:r>
        <w:rPr>
          <w:lang w:val="es-ES"/>
        </w:rPr>
        <w:tab/>
      </w:r>
      <w:r w:rsidR="003B7410" w:rsidRPr="00481FEF">
        <w:rPr>
          <w:lang w:val="es-ES"/>
        </w:rPr>
        <w:t xml:space="preserve">La deuda pública total del gobierno central alcanzó un 24,3% del PIB, </w:t>
      </w:r>
      <w:r w:rsidR="0046368F" w:rsidRPr="00481FEF">
        <w:rPr>
          <w:lang w:val="es-ES"/>
        </w:rPr>
        <w:t xml:space="preserve">algo </w:t>
      </w:r>
      <w:r w:rsidR="003B7410" w:rsidRPr="00481FEF">
        <w:rPr>
          <w:lang w:val="es-ES"/>
        </w:rPr>
        <w:t>por debajo de la de 2010 (24,5%), y no considera el monto no cuantificado de deuda flotante del gobierno central, que podría rondar el 1% del PIB. Además, cabe destacar que los mayores desembolsos por concepto de vencimientos de la deuda total se concentran entre 2011 y 2020, lo que presionará la caja de las finanzas públicas en los próximos años.</w:t>
      </w:r>
    </w:p>
    <w:p w:rsidR="009221A1" w:rsidRDefault="009221A1">
      <w:pPr>
        <w:jc w:val="left"/>
        <w:rPr>
          <w:lang w:val="es-ES"/>
        </w:rPr>
      </w:pPr>
      <w:r>
        <w:rPr>
          <w:lang w:val="es-ES"/>
        </w:rPr>
        <w:br w:type="page"/>
      </w:r>
    </w:p>
    <w:p w:rsidR="000113F2" w:rsidRDefault="009221A1" w:rsidP="00481FEF">
      <w:pPr>
        <w:rPr>
          <w:lang w:val="es-ES"/>
        </w:rPr>
      </w:pPr>
      <w:r>
        <w:rPr>
          <w:lang w:val="es-ES"/>
        </w:rPr>
        <w:lastRenderedPageBreak/>
        <w:tab/>
      </w:r>
      <w:r w:rsidR="003B7410" w:rsidRPr="00481FEF">
        <w:rPr>
          <w:lang w:val="es-ES"/>
        </w:rPr>
        <w:t xml:space="preserve">Las calificaciones para los bonos en moneda extranjera de </w:t>
      </w:r>
      <w:proofErr w:type="spellStart"/>
      <w:r w:rsidR="003B7410" w:rsidRPr="00481FEF">
        <w:rPr>
          <w:lang w:val="es-ES"/>
        </w:rPr>
        <w:t>Moody</w:t>
      </w:r>
      <w:r w:rsidR="00481FEF" w:rsidRPr="00481FEF">
        <w:rPr>
          <w:lang w:val="es-ES"/>
        </w:rPr>
        <w:t>’</w:t>
      </w:r>
      <w:r w:rsidR="003B7410" w:rsidRPr="00481FEF">
        <w:rPr>
          <w:lang w:val="es-ES"/>
        </w:rPr>
        <w:t>s</w:t>
      </w:r>
      <w:proofErr w:type="spellEnd"/>
      <w:r w:rsidR="003B7410" w:rsidRPr="00481FEF">
        <w:rPr>
          <w:lang w:val="es-ES"/>
        </w:rPr>
        <w:t xml:space="preserve">, </w:t>
      </w:r>
      <w:proofErr w:type="spellStart"/>
      <w:r w:rsidR="003B7410" w:rsidRPr="00481FEF">
        <w:rPr>
          <w:lang w:val="es-ES"/>
        </w:rPr>
        <w:t>Fitch</w:t>
      </w:r>
      <w:proofErr w:type="spellEnd"/>
      <w:r w:rsidR="003B7410" w:rsidRPr="00481FEF">
        <w:rPr>
          <w:lang w:val="es-ES"/>
        </w:rPr>
        <w:t xml:space="preserve"> Ratings y Standard and </w:t>
      </w:r>
      <w:proofErr w:type="spellStart"/>
      <w:r w:rsidR="003B7410" w:rsidRPr="00481FEF">
        <w:rPr>
          <w:lang w:val="es-ES"/>
        </w:rPr>
        <w:t>Poor</w:t>
      </w:r>
      <w:r w:rsidR="00481FEF" w:rsidRPr="00481FEF">
        <w:rPr>
          <w:lang w:val="es-ES"/>
        </w:rPr>
        <w:t>’</w:t>
      </w:r>
      <w:r w:rsidR="003B7410" w:rsidRPr="00481FEF">
        <w:rPr>
          <w:lang w:val="es-ES"/>
        </w:rPr>
        <w:t>s</w:t>
      </w:r>
      <w:proofErr w:type="spellEnd"/>
      <w:r w:rsidR="003B7410" w:rsidRPr="00481FEF">
        <w:rPr>
          <w:lang w:val="es-ES"/>
        </w:rPr>
        <w:t xml:space="preserve"> se mantuvieron en </w:t>
      </w:r>
      <w:proofErr w:type="spellStart"/>
      <w:r w:rsidR="003B7410" w:rsidRPr="00481FEF">
        <w:rPr>
          <w:lang w:val="es-ES"/>
        </w:rPr>
        <w:t>subgrado</w:t>
      </w:r>
      <w:proofErr w:type="spellEnd"/>
      <w:r w:rsidR="003B7410" w:rsidRPr="00481FEF">
        <w:rPr>
          <w:lang w:val="es-ES"/>
        </w:rPr>
        <w:t xml:space="preserve"> de inversión (</w:t>
      </w:r>
      <w:proofErr w:type="spellStart"/>
      <w:r w:rsidR="003B7410" w:rsidRPr="00481FEF">
        <w:rPr>
          <w:lang w:val="es-ES"/>
        </w:rPr>
        <w:t>Ba1</w:t>
      </w:r>
      <w:proofErr w:type="spellEnd"/>
      <w:r w:rsidR="003B7410" w:rsidRPr="00481FEF">
        <w:rPr>
          <w:lang w:val="es-ES"/>
        </w:rPr>
        <w:t xml:space="preserve">, </w:t>
      </w:r>
      <w:proofErr w:type="spellStart"/>
      <w:r w:rsidR="003B7410" w:rsidRPr="00481FEF">
        <w:rPr>
          <w:lang w:val="es-ES"/>
        </w:rPr>
        <w:t>BB</w:t>
      </w:r>
      <w:proofErr w:type="spellEnd"/>
      <w:r w:rsidR="003B7410" w:rsidRPr="00481FEF">
        <w:rPr>
          <w:lang w:val="es-ES"/>
        </w:rPr>
        <w:t xml:space="preserve">+ y </w:t>
      </w:r>
      <w:proofErr w:type="spellStart"/>
      <w:r w:rsidR="003B7410" w:rsidRPr="00481FEF">
        <w:rPr>
          <w:lang w:val="es-ES"/>
        </w:rPr>
        <w:t>BB</w:t>
      </w:r>
      <w:proofErr w:type="spellEnd"/>
      <w:r w:rsidR="003B7410" w:rsidRPr="00481FEF">
        <w:rPr>
          <w:lang w:val="es-ES"/>
        </w:rPr>
        <w:t xml:space="preserve">, respectivamente), con una perspectiva estable </w:t>
      </w:r>
      <w:r w:rsidR="0046368F" w:rsidRPr="00481FEF">
        <w:rPr>
          <w:lang w:val="es-ES"/>
        </w:rPr>
        <w:t>de</w:t>
      </w:r>
      <w:r w:rsidR="003B7410" w:rsidRPr="00481FEF">
        <w:rPr>
          <w:lang w:val="es-ES"/>
        </w:rPr>
        <w:t xml:space="preserve"> las dos primeras calificadoras y un cambio de estable a negativa </w:t>
      </w:r>
      <w:r w:rsidR="0046368F" w:rsidRPr="00481FEF">
        <w:rPr>
          <w:lang w:val="es-ES"/>
        </w:rPr>
        <w:t>de</w:t>
      </w:r>
      <w:r w:rsidR="003B7410" w:rsidRPr="00481FEF">
        <w:rPr>
          <w:lang w:val="es-ES"/>
        </w:rPr>
        <w:t xml:space="preserve"> la tercera, ante la probabilidad de que el déficit fiscal de Guatemala se mantenga cerca del 3% del PIB.</w:t>
      </w:r>
    </w:p>
    <w:p w:rsidR="009221A1" w:rsidRPr="00481FEF" w:rsidRDefault="009221A1" w:rsidP="00481FEF">
      <w:pPr>
        <w:rPr>
          <w:lang w:val="es-ES"/>
        </w:rPr>
      </w:pPr>
    </w:p>
    <w:p w:rsidR="000113F2" w:rsidRDefault="009221A1" w:rsidP="00481FEF">
      <w:pPr>
        <w:rPr>
          <w:lang w:val="es-ES"/>
        </w:rPr>
      </w:pPr>
      <w:r>
        <w:rPr>
          <w:lang w:val="es-ES"/>
        </w:rPr>
        <w:tab/>
      </w:r>
      <w:r w:rsidR="003B7410" w:rsidRPr="00481FEF">
        <w:rPr>
          <w:lang w:val="es-ES"/>
        </w:rPr>
        <w:t xml:space="preserve">En noviembre de 2011, el Congreso de la República aprobó </w:t>
      </w:r>
      <w:r w:rsidR="000113F2" w:rsidRPr="00481FEF">
        <w:rPr>
          <w:lang w:val="es-ES"/>
        </w:rPr>
        <w:t>la Ley d</w:t>
      </w:r>
      <w:r w:rsidR="003B7410" w:rsidRPr="00481FEF">
        <w:rPr>
          <w:lang w:val="es-ES"/>
        </w:rPr>
        <w:t>el Presupuesto General de Ingresos y Egresos del Estado para el Ejercicio Fiscal 2012. El presupuesto, de 59.547,4 millones de quetzales (equivalente</w:t>
      </w:r>
      <w:r w:rsidR="000113F2" w:rsidRPr="00481FEF">
        <w:rPr>
          <w:lang w:val="es-ES"/>
        </w:rPr>
        <w:t>s</w:t>
      </w:r>
      <w:r w:rsidR="003B7410" w:rsidRPr="00481FEF">
        <w:rPr>
          <w:lang w:val="es-ES"/>
        </w:rPr>
        <w:t xml:space="preserve"> a 7.614 millones de dólares o un 16,3% del PIB de 2011), será financiado en un 70% por ingresos tributarios y por la colocación de bonos del tesoro por 7.500 millones de quetzales (alrededor de 960 millones de dólares).</w:t>
      </w:r>
    </w:p>
    <w:p w:rsidR="009221A1" w:rsidRPr="00481FEF" w:rsidRDefault="009221A1" w:rsidP="00481FEF">
      <w:pPr>
        <w:rPr>
          <w:lang w:val="es-ES"/>
        </w:rPr>
      </w:pPr>
    </w:p>
    <w:p w:rsidR="000113F2" w:rsidRPr="009221A1" w:rsidRDefault="003B7410" w:rsidP="00481FEF">
      <w:pPr>
        <w:rPr>
          <w:b/>
          <w:lang w:val="es-ES"/>
        </w:rPr>
      </w:pPr>
      <w:r w:rsidRPr="009221A1">
        <w:rPr>
          <w:b/>
          <w:lang w:val="es-ES"/>
        </w:rPr>
        <w:t>b)</w:t>
      </w:r>
      <w:r w:rsidR="000113F2" w:rsidRPr="009221A1">
        <w:rPr>
          <w:b/>
          <w:lang w:val="es-ES"/>
        </w:rPr>
        <w:tab/>
      </w:r>
      <w:r w:rsidRPr="009221A1">
        <w:rPr>
          <w:b/>
          <w:lang w:val="es-ES"/>
        </w:rPr>
        <w:t>Política monetaria, cambiaria y financiera</w:t>
      </w:r>
    </w:p>
    <w:p w:rsidR="009221A1" w:rsidRDefault="009221A1" w:rsidP="00481FEF">
      <w:pPr>
        <w:rPr>
          <w:lang w:val="es-ES"/>
        </w:rPr>
      </w:pPr>
    </w:p>
    <w:p w:rsidR="000113F2" w:rsidRPr="009221A1" w:rsidRDefault="009221A1" w:rsidP="00481FEF">
      <w:pPr>
        <w:rPr>
          <w:spacing w:val="2"/>
          <w:lang w:val="es-ES"/>
        </w:rPr>
      </w:pPr>
      <w:r w:rsidRPr="009221A1">
        <w:rPr>
          <w:spacing w:val="2"/>
          <w:lang w:val="es-ES"/>
        </w:rPr>
        <w:tab/>
      </w:r>
      <w:r w:rsidR="003B7410" w:rsidRPr="009221A1">
        <w:rPr>
          <w:spacing w:val="2"/>
          <w:lang w:val="es-ES"/>
        </w:rPr>
        <w:t xml:space="preserve">En marzo de 2011, la Junta Monetaria decidió elevar </w:t>
      </w:r>
      <w:r w:rsidR="0046368F" w:rsidRPr="009221A1">
        <w:rPr>
          <w:spacing w:val="2"/>
          <w:lang w:val="es-ES"/>
        </w:rPr>
        <w:t xml:space="preserve">25 puntos básicos </w:t>
      </w:r>
      <w:r w:rsidR="003B7410" w:rsidRPr="009221A1">
        <w:rPr>
          <w:spacing w:val="2"/>
          <w:lang w:val="es-ES"/>
        </w:rPr>
        <w:t xml:space="preserve">el nivel de la </w:t>
      </w:r>
      <w:r w:rsidR="000113F2" w:rsidRPr="009221A1">
        <w:rPr>
          <w:spacing w:val="2"/>
          <w:lang w:val="es-ES"/>
        </w:rPr>
        <w:t>t</w:t>
      </w:r>
      <w:r w:rsidR="003B7410" w:rsidRPr="009221A1">
        <w:rPr>
          <w:spacing w:val="2"/>
          <w:lang w:val="es-ES"/>
        </w:rPr>
        <w:t xml:space="preserve">asa de </w:t>
      </w:r>
      <w:r w:rsidR="000113F2" w:rsidRPr="009221A1">
        <w:rPr>
          <w:spacing w:val="2"/>
          <w:lang w:val="es-ES"/>
        </w:rPr>
        <w:t>i</w:t>
      </w:r>
      <w:r w:rsidR="003B7410" w:rsidRPr="009221A1">
        <w:rPr>
          <w:spacing w:val="2"/>
          <w:lang w:val="es-ES"/>
        </w:rPr>
        <w:t xml:space="preserve">nterés </w:t>
      </w:r>
      <w:r w:rsidR="000113F2" w:rsidRPr="009221A1">
        <w:rPr>
          <w:spacing w:val="2"/>
          <w:lang w:val="es-ES"/>
        </w:rPr>
        <w:t>l</w:t>
      </w:r>
      <w:r w:rsidR="003B7410" w:rsidRPr="009221A1">
        <w:rPr>
          <w:spacing w:val="2"/>
          <w:lang w:val="es-ES"/>
        </w:rPr>
        <w:t xml:space="preserve">íder de </w:t>
      </w:r>
      <w:r w:rsidR="000113F2" w:rsidRPr="009221A1">
        <w:rPr>
          <w:spacing w:val="2"/>
          <w:lang w:val="es-ES"/>
        </w:rPr>
        <w:t>p</w:t>
      </w:r>
      <w:r w:rsidR="003B7410" w:rsidRPr="009221A1">
        <w:rPr>
          <w:spacing w:val="2"/>
          <w:lang w:val="es-ES"/>
        </w:rPr>
        <w:t xml:space="preserve">olítica </w:t>
      </w:r>
      <w:r w:rsidR="000113F2" w:rsidRPr="009221A1">
        <w:rPr>
          <w:spacing w:val="2"/>
          <w:lang w:val="es-ES"/>
        </w:rPr>
        <w:t>m</w:t>
      </w:r>
      <w:r w:rsidR="003B7410" w:rsidRPr="009221A1">
        <w:rPr>
          <w:spacing w:val="2"/>
          <w:lang w:val="es-ES"/>
        </w:rPr>
        <w:t>onetaria, del 4,5% al 4,75%. En julio de ese mismo año alcanzó el 5% y en septiembre se incrementó 50 puntos básicos más para permanecer hasta fin de año en un 5,5%, como respuesta a una mayor expectativa de inflación. El Banco de Guatemala puso en marcha una ventanilla de depósitos remunerados de corto plazo (</w:t>
      </w:r>
      <w:r w:rsidR="003B7410" w:rsidRPr="009221A1">
        <w:rPr>
          <w:i/>
          <w:spacing w:val="2"/>
          <w:lang w:val="es-ES"/>
        </w:rPr>
        <w:t>overnight</w:t>
      </w:r>
      <w:r w:rsidR="003B7410" w:rsidRPr="009221A1">
        <w:rPr>
          <w:spacing w:val="2"/>
          <w:lang w:val="es-ES"/>
        </w:rPr>
        <w:t xml:space="preserve">) y, de ese modo, las operaciones de neutralización y de inyección de liquidez mediante subastas y facilidades permanentes cambiaron de acuerdo con los plazos y calendarios siguientes: a siete días hasta el 31 de mayo de 2011 y a un día a partir del 1 de junio de 2011. </w:t>
      </w:r>
      <w:r w:rsidR="000113F2" w:rsidRPr="009221A1">
        <w:rPr>
          <w:spacing w:val="2"/>
          <w:lang w:val="es-ES"/>
        </w:rPr>
        <w:t>El</w:t>
      </w:r>
      <w:r w:rsidR="003B7410" w:rsidRPr="009221A1">
        <w:rPr>
          <w:spacing w:val="2"/>
          <w:lang w:val="es-ES"/>
        </w:rPr>
        <w:t xml:space="preserve"> objetivo fue fortalecer los instrumentos de política monetaria y las oper</w:t>
      </w:r>
      <w:r w:rsidRPr="009221A1">
        <w:rPr>
          <w:spacing w:val="2"/>
          <w:lang w:val="es-ES"/>
        </w:rPr>
        <w:t>aciones del mercado secundario.</w:t>
      </w:r>
    </w:p>
    <w:p w:rsidR="009221A1" w:rsidRPr="00481FEF" w:rsidRDefault="009221A1" w:rsidP="00481FEF">
      <w:pPr>
        <w:rPr>
          <w:lang w:val="es-ES"/>
        </w:rPr>
      </w:pPr>
    </w:p>
    <w:p w:rsidR="000113F2" w:rsidRDefault="009221A1" w:rsidP="00481FEF">
      <w:pPr>
        <w:rPr>
          <w:lang w:val="es-ES"/>
        </w:rPr>
      </w:pPr>
      <w:r>
        <w:rPr>
          <w:lang w:val="es-ES"/>
        </w:rPr>
        <w:tab/>
      </w:r>
      <w:r w:rsidR="003B7410" w:rsidRPr="00481FEF">
        <w:rPr>
          <w:lang w:val="es-ES"/>
        </w:rPr>
        <w:t>El tipo de cambio nominal bilateral respecto del dólar se apreció un 3,4% (un 6,2% en términos reales) en 2011, considerando el promedio anual. Las reservas internacionales netas al cierre de diciembre alcanzaron los 6.187,9 millones de dólares (un 3,9% más que en 2010).</w:t>
      </w:r>
    </w:p>
    <w:p w:rsidR="009221A1" w:rsidRPr="00481FEF" w:rsidRDefault="009221A1" w:rsidP="00481FEF">
      <w:pPr>
        <w:rPr>
          <w:lang w:val="es-ES"/>
        </w:rPr>
      </w:pPr>
    </w:p>
    <w:p w:rsidR="000113F2" w:rsidRDefault="009221A1" w:rsidP="00481FEF">
      <w:pPr>
        <w:rPr>
          <w:lang w:val="es-ES"/>
        </w:rPr>
      </w:pPr>
      <w:r>
        <w:rPr>
          <w:lang w:val="es-ES"/>
        </w:rPr>
        <w:tab/>
      </w:r>
      <w:r w:rsidR="003B7410" w:rsidRPr="00481FEF">
        <w:rPr>
          <w:lang w:val="es-ES"/>
        </w:rPr>
        <w:t xml:space="preserve">Los agregados monetarios </w:t>
      </w:r>
      <w:proofErr w:type="spellStart"/>
      <w:r w:rsidR="003B7410" w:rsidRPr="00481FEF">
        <w:rPr>
          <w:lang w:val="es-ES"/>
        </w:rPr>
        <w:t>M1</w:t>
      </w:r>
      <w:proofErr w:type="spellEnd"/>
      <w:r w:rsidR="003B7410" w:rsidRPr="00481FEF">
        <w:rPr>
          <w:lang w:val="es-ES"/>
        </w:rPr>
        <w:t xml:space="preserve">, </w:t>
      </w:r>
      <w:proofErr w:type="spellStart"/>
      <w:r w:rsidR="003B7410" w:rsidRPr="00481FEF">
        <w:rPr>
          <w:lang w:val="es-ES"/>
        </w:rPr>
        <w:t>M2</w:t>
      </w:r>
      <w:proofErr w:type="spellEnd"/>
      <w:r w:rsidR="003B7410" w:rsidRPr="00481FEF">
        <w:rPr>
          <w:lang w:val="es-ES"/>
        </w:rPr>
        <w:t xml:space="preserve"> y </w:t>
      </w:r>
      <w:proofErr w:type="spellStart"/>
      <w:r w:rsidR="003B7410" w:rsidRPr="00481FEF">
        <w:rPr>
          <w:lang w:val="es-ES"/>
        </w:rPr>
        <w:t>M3</w:t>
      </w:r>
      <w:proofErr w:type="spellEnd"/>
      <w:r w:rsidR="003B7410" w:rsidRPr="00481FEF">
        <w:rPr>
          <w:lang w:val="es-ES"/>
        </w:rPr>
        <w:t xml:space="preserve"> exhibieron una leve desaceleración de</w:t>
      </w:r>
      <w:r w:rsidR="000113F2" w:rsidRPr="00481FEF">
        <w:rPr>
          <w:lang w:val="es-ES"/>
        </w:rPr>
        <w:t>l</w:t>
      </w:r>
      <w:r w:rsidR="003B7410" w:rsidRPr="00481FEF">
        <w:rPr>
          <w:lang w:val="es-ES"/>
        </w:rPr>
        <w:t xml:space="preserve"> crecimiento en términos reales con respecto a 2010, ya que aumentaron un 1,7%, un 9,9% y un 10,7%, respectivamente (frente a un 3,9%, un 9,9% y un 11,3% en 2010). Las tasas de interés bancario mostraron una ligera disminución gracias a la intervención de las autoridades monetarias. Las tasas activas reales pasaron del 9,2% en 2010 al 7,2% en 2011 y las tasas pasivas reales bajaron del 1,6% al -0,9%. Esto incidió en que los créditos concedidos por el sistema bancario aumentaran en términos reales un 24,8%, un porcentaje muy superior al experimentado en 2010 (5,4%). En las cinco ramas de mayor importancia en el otorgamiento de créditos </w:t>
      </w:r>
      <w:r w:rsidR="000113F2" w:rsidRPr="00481FEF">
        <w:rPr>
          <w:lang w:val="es-ES"/>
        </w:rPr>
        <w:t>—</w:t>
      </w:r>
      <w:r w:rsidR="003B7410" w:rsidRPr="00481FEF">
        <w:rPr>
          <w:lang w:val="es-ES"/>
        </w:rPr>
        <w:t>consumo (un 25,8% del total), comercio (25,6%), manufactura (16,1%), servicios (13,1%) y construcción (7,7%)</w:t>
      </w:r>
      <w:r w:rsidR="000113F2" w:rsidRPr="00481FEF">
        <w:rPr>
          <w:lang w:val="es-ES"/>
        </w:rPr>
        <w:t>—</w:t>
      </w:r>
      <w:r w:rsidR="00765CD1" w:rsidRPr="00481FEF">
        <w:rPr>
          <w:lang w:val="es-ES"/>
        </w:rPr>
        <w:t>,</w:t>
      </w:r>
      <w:r w:rsidR="003B7410" w:rsidRPr="00481FEF">
        <w:rPr>
          <w:lang w:val="es-ES"/>
        </w:rPr>
        <w:t xml:space="preserve"> los créditos aumentaron un 31,8%, un 20,9%, un 46,4%, un 5,7% y un 3,2%, respectivamente.</w:t>
      </w:r>
    </w:p>
    <w:p w:rsidR="009221A1" w:rsidRPr="00481FEF" w:rsidRDefault="009221A1" w:rsidP="00481FEF">
      <w:pPr>
        <w:rPr>
          <w:lang w:val="es-ES"/>
        </w:rPr>
      </w:pPr>
    </w:p>
    <w:p w:rsidR="000113F2" w:rsidRDefault="009221A1" w:rsidP="00481FEF">
      <w:pPr>
        <w:rPr>
          <w:lang w:val="es-ES"/>
        </w:rPr>
      </w:pPr>
      <w:r>
        <w:rPr>
          <w:lang w:val="es-ES"/>
        </w:rPr>
        <w:tab/>
      </w:r>
      <w:r w:rsidR="003B7410" w:rsidRPr="00481FEF">
        <w:rPr>
          <w:lang w:val="es-ES"/>
        </w:rPr>
        <w:t xml:space="preserve">En este contexto, en 2011 el Gobierno de Guatemala no buscó </w:t>
      </w:r>
      <w:r w:rsidR="000113F2" w:rsidRPr="00481FEF">
        <w:rPr>
          <w:lang w:val="es-ES"/>
        </w:rPr>
        <w:t>ningún otro a</w:t>
      </w:r>
      <w:r w:rsidR="003B7410" w:rsidRPr="00481FEF">
        <w:rPr>
          <w:lang w:val="es-ES"/>
        </w:rPr>
        <w:t xml:space="preserve">cuerdo de derecho de giro con el Fondo Monetario Internacional (FMI). En octubre de 2010 concluyó el acuerdo vigente desde abril de 2009, </w:t>
      </w:r>
      <w:r w:rsidR="00765CD1" w:rsidRPr="00481FEF">
        <w:rPr>
          <w:lang w:val="es-ES"/>
        </w:rPr>
        <w:t xml:space="preserve">que </w:t>
      </w:r>
      <w:r w:rsidR="003B7410" w:rsidRPr="00481FEF">
        <w:rPr>
          <w:lang w:val="es-ES"/>
        </w:rPr>
        <w:t>cumplió con las metas de</w:t>
      </w:r>
      <w:r w:rsidR="000113F2" w:rsidRPr="00481FEF">
        <w:rPr>
          <w:lang w:val="es-ES"/>
        </w:rPr>
        <w:t>l</w:t>
      </w:r>
      <w:r w:rsidR="003B7410" w:rsidRPr="00481FEF">
        <w:rPr>
          <w:lang w:val="es-ES"/>
        </w:rPr>
        <w:t xml:space="preserve"> programa precautorio, de acuerdo con el Directorio Ejecutivo del FMI</w:t>
      </w:r>
      <w:r w:rsidR="000113F2" w:rsidRPr="00481FEF">
        <w:rPr>
          <w:lang w:val="es-ES"/>
        </w:rPr>
        <w:t>,</w:t>
      </w:r>
      <w:r w:rsidR="003B7410" w:rsidRPr="00481FEF">
        <w:rPr>
          <w:lang w:val="es-ES"/>
        </w:rPr>
        <w:t xml:space="preserve"> en su cuarta revisión.</w:t>
      </w:r>
    </w:p>
    <w:p w:rsidR="009221A1" w:rsidRPr="00481FEF" w:rsidRDefault="009221A1" w:rsidP="00481FEF">
      <w:pPr>
        <w:rPr>
          <w:lang w:val="es-ES"/>
        </w:rPr>
      </w:pPr>
    </w:p>
    <w:p w:rsidR="000113F2" w:rsidRPr="009221A1" w:rsidRDefault="003B7410" w:rsidP="00481FEF">
      <w:pPr>
        <w:rPr>
          <w:b/>
          <w:lang w:val="es-ES"/>
        </w:rPr>
      </w:pPr>
      <w:r w:rsidRPr="009221A1">
        <w:rPr>
          <w:b/>
          <w:lang w:val="es-ES"/>
        </w:rPr>
        <w:t>c)</w:t>
      </w:r>
      <w:r w:rsidR="000113F2" w:rsidRPr="009221A1">
        <w:rPr>
          <w:b/>
          <w:lang w:val="es-ES"/>
        </w:rPr>
        <w:tab/>
      </w:r>
      <w:r w:rsidRPr="009221A1">
        <w:rPr>
          <w:b/>
          <w:lang w:val="es-ES"/>
        </w:rPr>
        <w:t>Política comercial</w:t>
      </w:r>
    </w:p>
    <w:p w:rsidR="009221A1" w:rsidRDefault="009221A1" w:rsidP="00481FEF">
      <w:pPr>
        <w:rPr>
          <w:lang w:val="es-ES"/>
        </w:rPr>
      </w:pPr>
    </w:p>
    <w:p w:rsidR="000113F2" w:rsidRPr="00481FEF" w:rsidRDefault="009221A1" w:rsidP="00481FEF">
      <w:pPr>
        <w:rPr>
          <w:lang w:val="es-ES"/>
        </w:rPr>
      </w:pPr>
      <w:r>
        <w:rPr>
          <w:lang w:val="es-ES"/>
        </w:rPr>
        <w:tab/>
      </w:r>
      <w:r w:rsidR="003B7410" w:rsidRPr="00481FEF">
        <w:rPr>
          <w:lang w:val="es-ES"/>
        </w:rPr>
        <w:t xml:space="preserve">Durante la Cumbre del Mecanismo de Tuxtla, en noviembre de 2011, los gobiernos de Centroamérica y México firmaron un </w:t>
      </w:r>
      <w:r w:rsidR="000113F2" w:rsidRPr="00481FEF">
        <w:rPr>
          <w:lang w:val="es-ES"/>
        </w:rPr>
        <w:t>t</w:t>
      </w:r>
      <w:r w:rsidR="003B7410" w:rsidRPr="00481FEF">
        <w:rPr>
          <w:lang w:val="es-ES"/>
        </w:rPr>
        <w:t>ratado de libre comercio que unificó diversos acuerdos comerciales vigentes entre estos países.</w:t>
      </w:r>
    </w:p>
    <w:p w:rsidR="009221A1" w:rsidRDefault="009221A1">
      <w:pPr>
        <w:jc w:val="left"/>
      </w:pPr>
      <w:r>
        <w:br w:type="page"/>
      </w:r>
    </w:p>
    <w:p w:rsidR="000113F2" w:rsidRPr="009221A1" w:rsidRDefault="003B7410" w:rsidP="009221A1">
      <w:pPr>
        <w:jc w:val="center"/>
        <w:rPr>
          <w:b/>
        </w:rPr>
      </w:pPr>
      <w:r w:rsidRPr="009221A1">
        <w:rPr>
          <w:b/>
        </w:rPr>
        <w:lastRenderedPageBreak/>
        <w:t>3. Evolución de las principales variables</w:t>
      </w:r>
    </w:p>
    <w:p w:rsidR="009221A1" w:rsidRDefault="009221A1" w:rsidP="00481FEF">
      <w:pPr>
        <w:rPr>
          <w:lang w:val="es-ES"/>
        </w:rPr>
      </w:pPr>
    </w:p>
    <w:p w:rsidR="000113F2" w:rsidRPr="009221A1" w:rsidRDefault="003B7410" w:rsidP="00481FEF">
      <w:pPr>
        <w:rPr>
          <w:b/>
          <w:lang w:val="es-ES"/>
        </w:rPr>
      </w:pPr>
      <w:r w:rsidRPr="009221A1">
        <w:rPr>
          <w:b/>
          <w:lang w:val="es-ES"/>
        </w:rPr>
        <w:t xml:space="preserve">a) </w:t>
      </w:r>
      <w:r w:rsidR="000113F2" w:rsidRPr="009221A1">
        <w:rPr>
          <w:b/>
          <w:lang w:val="es-ES"/>
        </w:rPr>
        <w:tab/>
      </w:r>
      <w:r w:rsidRPr="009221A1">
        <w:rPr>
          <w:b/>
          <w:lang w:val="es-ES"/>
        </w:rPr>
        <w:t>La actividad económica</w:t>
      </w:r>
    </w:p>
    <w:p w:rsidR="009221A1" w:rsidRDefault="009221A1" w:rsidP="00481FEF">
      <w:pPr>
        <w:rPr>
          <w:lang w:val="es-ES"/>
        </w:rPr>
      </w:pPr>
    </w:p>
    <w:p w:rsidR="000113F2" w:rsidRDefault="009221A1" w:rsidP="00481FEF">
      <w:pPr>
        <w:rPr>
          <w:lang w:val="es-ES"/>
        </w:rPr>
      </w:pPr>
      <w:r>
        <w:rPr>
          <w:lang w:val="es-ES"/>
        </w:rPr>
        <w:tab/>
      </w:r>
      <w:r w:rsidR="003B7410" w:rsidRPr="00481FEF">
        <w:rPr>
          <w:lang w:val="es-ES"/>
        </w:rPr>
        <w:t xml:space="preserve">La tasa de crecimiento del PIB real en 2011 fue del 3,9% y mostró un aumento impulsado por la expansión de la minería, los servicios básicos y otros servicios. La agricultura, la manufactura y la construcción crecieron de forma más moderada. Las importaciones de bienes y servicios aumentaron un 5,2%. </w:t>
      </w:r>
      <w:r w:rsidR="000113F2" w:rsidRPr="00481FEF">
        <w:rPr>
          <w:lang w:val="es-ES"/>
        </w:rPr>
        <w:t>En cuanto a</w:t>
      </w:r>
      <w:r w:rsidR="003B7410" w:rsidRPr="00481FEF">
        <w:rPr>
          <w:lang w:val="es-ES"/>
        </w:rPr>
        <w:t xml:space="preserve"> la demanda, la inversión bruta fija aumentó un 3,5%, </w:t>
      </w:r>
      <w:r w:rsidR="000113F2" w:rsidRPr="00481FEF">
        <w:rPr>
          <w:lang w:val="es-ES"/>
        </w:rPr>
        <w:t xml:space="preserve">lo </w:t>
      </w:r>
      <w:r w:rsidR="003B7410" w:rsidRPr="00481FEF">
        <w:rPr>
          <w:lang w:val="es-ES"/>
        </w:rPr>
        <w:t xml:space="preserve">que se compara positivamente con los retrocesos </w:t>
      </w:r>
      <w:r w:rsidR="000113F2" w:rsidRPr="00481FEF">
        <w:rPr>
          <w:lang w:val="es-ES"/>
        </w:rPr>
        <w:t>d</w:t>
      </w:r>
      <w:r w:rsidR="003B7410" w:rsidRPr="00481FEF">
        <w:rPr>
          <w:lang w:val="es-ES"/>
        </w:rPr>
        <w:t xml:space="preserve">el período 2008-2010. La inversión privada se incrementó un 6,9%, pero la pública cayó un 9,3%, siguiendo con la tendencia negativa de 2010 (cuando se redujo un 15,9%). Esto se debió, entre otras cosas, al escaso margen de maniobra que tiene el presupuesto. Se constató un repunte </w:t>
      </w:r>
      <w:r w:rsidR="00765CD1" w:rsidRPr="00481FEF">
        <w:rPr>
          <w:lang w:val="es-ES"/>
        </w:rPr>
        <w:t xml:space="preserve">del </w:t>
      </w:r>
      <w:r w:rsidR="003B7410" w:rsidRPr="00481FEF">
        <w:rPr>
          <w:lang w:val="es-ES"/>
        </w:rPr>
        <w:t>consumo, ya que el consumo público aumentó un 4,7%</w:t>
      </w:r>
      <w:r w:rsidR="000113F2" w:rsidRPr="00481FEF">
        <w:rPr>
          <w:lang w:val="es-ES"/>
        </w:rPr>
        <w:t xml:space="preserve"> y </w:t>
      </w:r>
      <w:r w:rsidR="003B7410" w:rsidRPr="00481FEF">
        <w:rPr>
          <w:lang w:val="es-ES"/>
        </w:rPr>
        <w:t xml:space="preserve">el privado se elevó un 4,2%. Las exportaciones de bienes y servicios aumentaron un 5,4%. El crecimiento económico en 2011 también sufrió los efectos negativos de la </w:t>
      </w:r>
      <w:r w:rsidR="000113F2" w:rsidRPr="00481FEF">
        <w:rPr>
          <w:lang w:val="es-ES"/>
        </w:rPr>
        <w:t>d</w:t>
      </w:r>
      <w:r w:rsidR="003B7410" w:rsidRPr="00481FEF">
        <w:rPr>
          <w:lang w:val="es-ES"/>
        </w:rPr>
        <w:t xml:space="preserve">epresión </w:t>
      </w:r>
      <w:r w:rsidR="000113F2" w:rsidRPr="00481FEF">
        <w:rPr>
          <w:lang w:val="es-ES"/>
        </w:rPr>
        <w:t>t</w:t>
      </w:r>
      <w:r w:rsidR="003B7410" w:rsidRPr="00481FEF">
        <w:rPr>
          <w:lang w:val="es-ES"/>
        </w:rPr>
        <w:t>ropical 12</w:t>
      </w:r>
      <w:r w:rsidR="000113F2" w:rsidRPr="00481FEF">
        <w:rPr>
          <w:lang w:val="es-ES"/>
        </w:rPr>
        <w:t>-</w:t>
      </w:r>
      <w:r w:rsidR="003B7410" w:rsidRPr="00481FEF">
        <w:rPr>
          <w:lang w:val="es-ES"/>
        </w:rPr>
        <w:t xml:space="preserve">E en octubre, que </w:t>
      </w:r>
      <w:r w:rsidR="000113F2" w:rsidRPr="00481FEF">
        <w:rPr>
          <w:lang w:val="es-ES"/>
        </w:rPr>
        <w:t xml:space="preserve">tuvo un </w:t>
      </w:r>
      <w:r w:rsidR="003B7410" w:rsidRPr="00481FEF">
        <w:rPr>
          <w:lang w:val="es-ES"/>
        </w:rPr>
        <w:t>impact</w:t>
      </w:r>
      <w:r w:rsidR="000113F2" w:rsidRPr="00481FEF">
        <w:rPr>
          <w:lang w:val="es-ES"/>
        </w:rPr>
        <w:t>o</w:t>
      </w:r>
      <w:r w:rsidR="003B7410" w:rsidRPr="00481FEF">
        <w:rPr>
          <w:lang w:val="es-ES"/>
        </w:rPr>
        <w:t xml:space="preserve"> a la baja </w:t>
      </w:r>
      <w:r w:rsidR="000113F2" w:rsidRPr="00481FEF">
        <w:rPr>
          <w:lang w:val="es-ES"/>
        </w:rPr>
        <w:t>de</w:t>
      </w:r>
      <w:r w:rsidR="003B7410" w:rsidRPr="00481FEF">
        <w:rPr>
          <w:lang w:val="es-ES"/>
        </w:rPr>
        <w:t xml:space="preserve"> a</w:t>
      </w:r>
      <w:r w:rsidR="00060F45">
        <w:rPr>
          <w:lang w:val="es-ES"/>
        </w:rPr>
        <w:t>lrededor de 0,14 </w:t>
      </w:r>
      <w:r w:rsidR="003B7410" w:rsidRPr="00481FEF">
        <w:rPr>
          <w:lang w:val="es-ES"/>
        </w:rPr>
        <w:t xml:space="preserve">puntos porcentuales </w:t>
      </w:r>
      <w:r w:rsidR="000113F2" w:rsidRPr="00481FEF">
        <w:rPr>
          <w:lang w:val="es-ES"/>
        </w:rPr>
        <w:t xml:space="preserve">en </w:t>
      </w:r>
      <w:r w:rsidR="003B7410" w:rsidRPr="00481FEF">
        <w:rPr>
          <w:lang w:val="es-ES"/>
        </w:rPr>
        <w:t>el crecimiento del PIB real para ese año.</w:t>
      </w:r>
    </w:p>
    <w:p w:rsidR="009221A1" w:rsidRPr="00481FEF" w:rsidRDefault="009221A1" w:rsidP="00481FEF">
      <w:pPr>
        <w:rPr>
          <w:lang w:val="es-ES"/>
        </w:rPr>
      </w:pPr>
    </w:p>
    <w:p w:rsidR="000113F2" w:rsidRDefault="009221A1" w:rsidP="00481FEF">
      <w:pPr>
        <w:rPr>
          <w:lang w:val="es-ES"/>
        </w:rPr>
      </w:pPr>
      <w:r>
        <w:rPr>
          <w:lang w:val="es-ES"/>
        </w:rPr>
        <w:tab/>
      </w:r>
      <w:r w:rsidR="003B7410" w:rsidRPr="00481FEF">
        <w:rPr>
          <w:lang w:val="es-ES"/>
        </w:rPr>
        <w:t>Medida a través del valor bruto de la producción a precios de 2001, la actividad económica que mostró mayor dinamismo fue la del sector minero, ya que aumentó un 20,5% en 2011, debido al incremento de los minerales metálicos (37,2%), cuya demanda estuvo deprimida los últimos cinco años, aunque la producción de petróleo y gas natural cayó un 8,2% como consecuencia del ago</w:t>
      </w:r>
      <w:r>
        <w:rPr>
          <w:lang w:val="es-ES"/>
        </w:rPr>
        <w:t>tamiento de los </w:t>
      </w:r>
      <w:r w:rsidR="003B7410" w:rsidRPr="00481FEF">
        <w:rPr>
          <w:lang w:val="es-ES"/>
        </w:rPr>
        <w:t>yacimientos.</w:t>
      </w:r>
    </w:p>
    <w:p w:rsidR="009221A1" w:rsidRPr="00481FEF" w:rsidRDefault="009221A1" w:rsidP="00481FEF">
      <w:pPr>
        <w:rPr>
          <w:lang w:val="es-ES"/>
        </w:rPr>
      </w:pPr>
    </w:p>
    <w:p w:rsidR="000113F2" w:rsidRDefault="009221A1" w:rsidP="00481FEF">
      <w:pPr>
        <w:rPr>
          <w:lang w:val="es-ES"/>
        </w:rPr>
      </w:pPr>
      <w:r>
        <w:rPr>
          <w:lang w:val="es-ES"/>
        </w:rPr>
        <w:tab/>
      </w:r>
      <w:r w:rsidR="003B7410" w:rsidRPr="00481FEF">
        <w:rPr>
          <w:lang w:val="es-ES"/>
        </w:rPr>
        <w:t>El sector agropecuario creció un 3,6%, tres puntos porcentuales más que en el año anterior. Este desempeño respondió a un aumento del 7,1% de los cultivos tradicionales</w:t>
      </w:r>
      <w:r w:rsidR="000113F2" w:rsidRPr="00481FEF">
        <w:rPr>
          <w:lang w:val="es-ES"/>
        </w:rPr>
        <w:t>,</w:t>
      </w:r>
      <w:r w:rsidR="003B7410" w:rsidRPr="00481FEF">
        <w:rPr>
          <w:lang w:val="es-ES"/>
        </w:rPr>
        <w:t xml:space="preserve"> a los que siguieron los cultivos no tradicionales (2,9%) y el sector de ganadería, silvicultura y pesca (2,5%). Entre los principales cultivos de exportación (café, algodón, banano, caña de azúcar y cardamomo) sobresalió el aumento del 6,5% del cardamomo y un descenso del 2,4% </w:t>
      </w:r>
      <w:r w:rsidR="00765CD1" w:rsidRPr="00481FEF">
        <w:rPr>
          <w:lang w:val="es-ES"/>
        </w:rPr>
        <w:t xml:space="preserve">del </w:t>
      </w:r>
      <w:r w:rsidR="003B7410" w:rsidRPr="00481FEF">
        <w:rPr>
          <w:lang w:val="es-ES"/>
        </w:rPr>
        <w:t>algodón.</w:t>
      </w:r>
    </w:p>
    <w:p w:rsidR="009221A1" w:rsidRPr="00481FEF" w:rsidRDefault="009221A1" w:rsidP="00481FEF">
      <w:pPr>
        <w:rPr>
          <w:lang w:val="es-ES"/>
        </w:rPr>
      </w:pPr>
    </w:p>
    <w:p w:rsidR="000113F2" w:rsidRDefault="009221A1" w:rsidP="00481FEF">
      <w:pPr>
        <w:rPr>
          <w:lang w:val="es-ES"/>
        </w:rPr>
      </w:pPr>
      <w:r>
        <w:rPr>
          <w:lang w:val="es-ES"/>
        </w:rPr>
        <w:tab/>
      </w:r>
      <w:r w:rsidR="003B7410" w:rsidRPr="00481FEF">
        <w:rPr>
          <w:lang w:val="es-ES"/>
        </w:rPr>
        <w:t xml:space="preserve">El valor bruto de la producción manufacturera, con una participación del 18,1% en el PIB, creció un 3,1%, </w:t>
      </w:r>
      <w:r w:rsidR="00765CD1" w:rsidRPr="00481FEF">
        <w:rPr>
          <w:lang w:val="es-ES"/>
        </w:rPr>
        <w:t xml:space="preserve">levemente </w:t>
      </w:r>
      <w:r w:rsidR="003B7410" w:rsidRPr="00481FEF">
        <w:rPr>
          <w:lang w:val="es-ES"/>
        </w:rPr>
        <w:t xml:space="preserve">por debajo </w:t>
      </w:r>
      <w:r w:rsidR="00765CD1" w:rsidRPr="00481FEF">
        <w:rPr>
          <w:lang w:val="es-ES"/>
        </w:rPr>
        <w:t xml:space="preserve">de la tasa de 2010. </w:t>
      </w:r>
      <w:r w:rsidR="000113F2" w:rsidRPr="00481FEF">
        <w:rPr>
          <w:lang w:val="es-ES"/>
        </w:rPr>
        <w:t>Este descenso se debió</w:t>
      </w:r>
      <w:r w:rsidR="003B7410" w:rsidRPr="00481FEF">
        <w:rPr>
          <w:lang w:val="es-ES"/>
        </w:rPr>
        <w:t xml:space="preserve">, entre otras cosas, </w:t>
      </w:r>
      <w:r w:rsidR="000113F2" w:rsidRPr="00481FEF">
        <w:rPr>
          <w:lang w:val="es-ES"/>
        </w:rPr>
        <w:t>a</w:t>
      </w:r>
      <w:r w:rsidR="003B7410" w:rsidRPr="00481FEF">
        <w:rPr>
          <w:lang w:val="es-ES"/>
        </w:rPr>
        <w:t xml:space="preserve"> una menor demanda externa de textiles y prendas de vestir por parte de los Estados</w:t>
      </w:r>
      <w:r w:rsidR="000113F2" w:rsidRPr="00481FEF">
        <w:rPr>
          <w:lang w:val="es-ES"/>
        </w:rPr>
        <w:t> </w:t>
      </w:r>
      <w:r w:rsidR="003B7410" w:rsidRPr="00481FEF">
        <w:rPr>
          <w:lang w:val="es-ES"/>
        </w:rPr>
        <w:t>Unidos, principal destino de estos productos. Los dos rubros que más crecieron en este sector fueron la industria de madera y corcho (7,6%) y los minerales no metálicos (7,2%).</w:t>
      </w:r>
    </w:p>
    <w:p w:rsidR="009221A1" w:rsidRPr="00481FEF" w:rsidRDefault="009221A1" w:rsidP="00481FEF">
      <w:pPr>
        <w:rPr>
          <w:lang w:val="es-ES"/>
        </w:rPr>
      </w:pPr>
    </w:p>
    <w:p w:rsidR="000113F2" w:rsidRDefault="009221A1" w:rsidP="00481FEF">
      <w:pPr>
        <w:rPr>
          <w:lang w:val="es-ES"/>
        </w:rPr>
      </w:pPr>
      <w:r>
        <w:rPr>
          <w:lang w:val="es-ES"/>
        </w:rPr>
        <w:tab/>
      </w:r>
      <w:r w:rsidR="003B7410" w:rsidRPr="00481FEF">
        <w:rPr>
          <w:lang w:val="es-ES"/>
        </w:rPr>
        <w:t xml:space="preserve">A precios de mercado de 2001, los servicios básicos (electricidad, gas y agua, y transporte, almacenamiento y comunicaciones) aumentaron un 4,5% en 2011, poco más de un punto porcentual que en 2010. Otros servicios, como el comercio, los restaurantes, las finanzas y los servicios comunales y sociales, crecieron un 3,9% en promedio. </w:t>
      </w:r>
    </w:p>
    <w:p w:rsidR="009221A1" w:rsidRPr="00481FEF" w:rsidRDefault="009221A1" w:rsidP="00481FEF">
      <w:pPr>
        <w:rPr>
          <w:lang w:val="es-ES"/>
        </w:rPr>
      </w:pPr>
    </w:p>
    <w:p w:rsidR="000113F2" w:rsidRPr="009221A1" w:rsidRDefault="003B7410" w:rsidP="00481FEF">
      <w:pPr>
        <w:rPr>
          <w:b/>
          <w:lang w:val="es-ES"/>
        </w:rPr>
      </w:pPr>
      <w:r w:rsidRPr="009221A1">
        <w:rPr>
          <w:b/>
          <w:lang w:val="es-ES"/>
        </w:rPr>
        <w:t xml:space="preserve">b) </w:t>
      </w:r>
      <w:r w:rsidR="000113F2" w:rsidRPr="009221A1">
        <w:rPr>
          <w:b/>
          <w:lang w:val="es-ES"/>
        </w:rPr>
        <w:tab/>
      </w:r>
      <w:r w:rsidRPr="009221A1">
        <w:rPr>
          <w:b/>
          <w:lang w:val="es-ES"/>
        </w:rPr>
        <w:t>Los precios, las remuneraciones y el empleo</w:t>
      </w:r>
    </w:p>
    <w:p w:rsidR="009221A1" w:rsidRDefault="009221A1" w:rsidP="00481FEF">
      <w:pPr>
        <w:rPr>
          <w:lang w:val="es-ES"/>
        </w:rPr>
      </w:pPr>
    </w:p>
    <w:p w:rsidR="000113F2" w:rsidRPr="00481FEF" w:rsidRDefault="009221A1" w:rsidP="00481FEF">
      <w:pPr>
        <w:rPr>
          <w:lang w:val="es-ES"/>
        </w:rPr>
      </w:pPr>
      <w:r>
        <w:rPr>
          <w:lang w:val="es-ES"/>
        </w:rPr>
        <w:tab/>
      </w:r>
      <w:r w:rsidR="003B7410" w:rsidRPr="00481FEF">
        <w:rPr>
          <w:lang w:val="es-ES"/>
        </w:rPr>
        <w:t xml:space="preserve">El aumento de los precios al consumidor </w:t>
      </w:r>
      <w:r w:rsidR="005A2B09" w:rsidRPr="00481FEF">
        <w:rPr>
          <w:lang w:val="es-ES"/>
        </w:rPr>
        <w:t>hasta</w:t>
      </w:r>
      <w:r w:rsidR="003B7410" w:rsidRPr="00481FEF">
        <w:rPr>
          <w:lang w:val="es-ES"/>
        </w:rPr>
        <w:t xml:space="preserve"> diciembre de 2011 alcanzó un 6,2%</w:t>
      </w:r>
      <w:r w:rsidR="000113F2" w:rsidRPr="00481FEF">
        <w:rPr>
          <w:lang w:val="es-ES"/>
        </w:rPr>
        <w:t xml:space="preserve"> (</w:t>
      </w:r>
      <w:r w:rsidR="003B7410" w:rsidRPr="00481FEF">
        <w:rPr>
          <w:lang w:val="es-ES"/>
        </w:rPr>
        <w:t>frente a un 5,4% en 2010</w:t>
      </w:r>
      <w:r w:rsidR="000113F2" w:rsidRPr="00481FEF">
        <w:rPr>
          <w:lang w:val="es-ES"/>
        </w:rPr>
        <w:t>)</w:t>
      </w:r>
      <w:r w:rsidR="003B7410" w:rsidRPr="00481FEF">
        <w:rPr>
          <w:lang w:val="es-ES"/>
        </w:rPr>
        <w:t xml:space="preserve">, debido principalmente al incremento </w:t>
      </w:r>
      <w:r w:rsidR="005A2B09" w:rsidRPr="00481FEF">
        <w:rPr>
          <w:lang w:val="es-ES"/>
        </w:rPr>
        <w:t>de</w:t>
      </w:r>
      <w:r w:rsidR="003B7410" w:rsidRPr="00481FEF">
        <w:rPr>
          <w:lang w:val="es-ES"/>
        </w:rPr>
        <w:t xml:space="preserve"> los precios de bienes importados, sobre todo del petróleo y los alimentos. En tanto, la inflación subyacente alcanzó un 5,27% al cierre de 2011. Tan solo la inflación en el rubro de alimentos y bebidas no alcohólicas aumentó un 10,9%, una cifra muy superior al 3,4% de 2010. Por su parte, los precios al por mayor se elevaron un 6,</w:t>
      </w:r>
      <w:r>
        <w:rPr>
          <w:lang w:val="es-ES"/>
        </w:rPr>
        <w:t>9% en 2011 (frente a un 6,6% un </w:t>
      </w:r>
      <w:r w:rsidR="003B7410" w:rsidRPr="00481FEF">
        <w:rPr>
          <w:lang w:val="es-ES"/>
        </w:rPr>
        <w:t xml:space="preserve">año antes). </w:t>
      </w:r>
    </w:p>
    <w:p w:rsidR="009221A1" w:rsidRDefault="009221A1">
      <w:pPr>
        <w:jc w:val="left"/>
        <w:rPr>
          <w:lang w:val="es-ES"/>
        </w:rPr>
      </w:pPr>
      <w:r>
        <w:rPr>
          <w:lang w:val="es-ES"/>
        </w:rPr>
        <w:br w:type="page"/>
      </w:r>
    </w:p>
    <w:p w:rsidR="000113F2" w:rsidRDefault="009221A1" w:rsidP="00481FEF">
      <w:pPr>
        <w:rPr>
          <w:lang w:val="es-ES"/>
        </w:rPr>
      </w:pPr>
      <w:r>
        <w:rPr>
          <w:lang w:val="es-ES"/>
        </w:rPr>
        <w:lastRenderedPageBreak/>
        <w:tab/>
      </w:r>
      <w:r w:rsidR="003B7410" w:rsidRPr="00481FEF">
        <w:rPr>
          <w:lang w:val="es-ES"/>
        </w:rPr>
        <w:t>En 2011 hubo un aumento del salario mínimo para las actividades</w:t>
      </w:r>
      <w:r>
        <w:rPr>
          <w:lang w:val="es-ES"/>
        </w:rPr>
        <w:t xml:space="preserve"> agrícolas y no agrícolas de 56 </w:t>
      </w:r>
      <w:r w:rsidR="003B7410" w:rsidRPr="00481FEF">
        <w:rPr>
          <w:lang w:val="es-ES"/>
        </w:rPr>
        <w:t xml:space="preserve">quetzales a 63,7 quetzales diarios, lo que significó un incremento real anual del 7,1%. En el sector de la maquila, el salario aumentó de 51,8 quetzales a 59,5 quetzales diarios (un 8,2% real). Por su parte, los salarios medios de todas las actividades económicas se incrementaron en promedio un 1,6% en términos reales. El Instituto Nacional de Estadística de Guatemala </w:t>
      </w:r>
      <w:r w:rsidR="000113F2" w:rsidRPr="00481FEF">
        <w:rPr>
          <w:lang w:val="es-ES"/>
        </w:rPr>
        <w:t xml:space="preserve">(INE) </w:t>
      </w:r>
      <w:r w:rsidR="003B7410" w:rsidRPr="00481FEF">
        <w:rPr>
          <w:lang w:val="es-ES"/>
        </w:rPr>
        <w:t>informó un aumento del desempleo abierto del 3,5% en 2010 al 4,1% en 2011, vinculado, en gran parte, a la pérdida de empleos en el sector de la maquila.</w:t>
      </w:r>
    </w:p>
    <w:p w:rsidR="009221A1" w:rsidRPr="00481FEF" w:rsidRDefault="009221A1" w:rsidP="00481FEF">
      <w:pPr>
        <w:rPr>
          <w:lang w:val="es-ES"/>
        </w:rPr>
      </w:pPr>
    </w:p>
    <w:p w:rsidR="000113F2" w:rsidRPr="009221A1" w:rsidRDefault="003B7410" w:rsidP="00481FEF">
      <w:pPr>
        <w:rPr>
          <w:b/>
          <w:lang w:val="es-ES"/>
        </w:rPr>
      </w:pPr>
      <w:r w:rsidRPr="009221A1">
        <w:rPr>
          <w:b/>
          <w:lang w:val="es-ES"/>
        </w:rPr>
        <w:t xml:space="preserve">c) </w:t>
      </w:r>
      <w:r w:rsidR="000113F2" w:rsidRPr="009221A1">
        <w:rPr>
          <w:b/>
          <w:lang w:val="es-ES"/>
        </w:rPr>
        <w:tab/>
      </w:r>
      <w:r w:rsidRPr="009221A1">
        <w:rPr>
          <w:b/>
          <w:lang w:val="es-ES"/>
        </w:rPr>
        <w:t>El sector externo</w:t>
      </w:r>
    </w:p>
    <w:p w:rsidR="009221A1" w:rsidRDefault="009221A1" w:rsidP="00481FEF">
      <w:pPr>
        <w:rPr>
          <w:lang w:val="es-ES"/>
        </w:rPr>
      </w:pPr>
    </w:p>
    <w:p w:rsidR="000113F2" w:rsidRDefault="009221A1" w:rsidP="00481FEF">
      <w:pPr>
        <w:rPr>
          <w:lang w:val="es-ES"/>
        </w:rPr>
      </w:pPr>
      <w:r>
        <w:rPr>
          <w:lang w:val="es-ES"/>
        </w:rPr>
        <w:tab/>
      </w:r>
      <w:r w:rsidR="003B7410" w:rsidRPr="00481FEF">
        <w:rPr>
          <w:lang w:val="es-ES"/>
        </w:rPr>
        <w:t>El valor de las exportaciones de bienes aumentó un 22,9% en 2011</w:t>
      </w:r>
      <w:r w:rsidR="000113F2" w:rsidRPr="00481FEF">
        <w:rPr>
          <w:lang w:val="es-ES"/>
        </w:rPr>
        <w:t>, frente a un 17,3% en</w:t>
      </w:r>
      <w:r w:rsidR="003B7410" w:rsidRPr="00481FEF">
        <w:rPr>
          <w:lang w:val="es-ES"/>
        </w:rPr>
        <w:t xml:space="preserve"> 2010. Las </w:t>
      </w:r>
      <w:bookmarkStart w:id="1" w:name="OLE_LINK2"/>
      <w:r w:rsidR="003B7410" w:rsidRPr="00481FEF">
        <w:rPr>
          <w:lang w:val="es-ES"/>
        </w:rPr>
        <w:t xml:space="preserve">exportaciones </w:t>
      </w:r>
      <w:bookmarkEnd w:id="1"/>
      <w:r w:rsidR="003B7410" w:rsidRPr="00481FEF">
        <w:rPr>
          <w:lang w:val="es-ES"/>
        </w:rPr>
        <w:t>tradicionales subieron un 24,8%</w:t>
      </w:r>
      <w:r w:rsidR="003C483F">
        <w:rPr>
          <w:lang w:val="es-ES"/>
        </w:rPr>
        <w:t>,</w:t>
      </w:r>
      <w:r w:rsidR="003B7410" w:rsidRPr="00481FEF">
        <w:rPr>
          <w:lang w:val="es-ES"/>
        </w:rPr>
        <w:t xml:space="preserve"> impulsadas por los altos precios del café y el banano, entre otros. En tanto, las exportaciones no tradicionales aumentaron un 22,2%. Las importaciones de bienes</w:t>
      </w:r>
      <w:r w:rsidR="000113F2" w:rsidRPr="00481FEF">
        <w:rPr>
          <w:lang w:val="es-ES"/>
        </w:rPr>
        <w:t>, por su parte,</w:t>
      </w:r>
      <w:r w:rsidR="003B7410" w:rsidRPr="00481FEF">
        <w:rPr>
          <w:lang w:val="es-ES"/>
        </w:rPr>
        <w:t xml:space="preserve"> crecieron un 20% (una tasa idéntica a la del año anterior). Se destaca especialmente la demanda de bienes intermedios (23,1%), aunque impulsada por el aumento del precio de los hidrocarburos y otros insumos industriales. El valor de los servicios exportados aumentó un 2,9%, al tiempo que l</w:t>
      </w:r>
      <w:r w:rsidR="000113F2" w:rsidRPr="00481FEF">
        <w:rPr>
          <w:lang w:val="es-ES"/>
        </w:rPr>
        <w:t>os</w:t>
      </w:r>
      <w:r w:rsidR="003B7410" w:rsidRPr="00481FEF">
        <w:rPr>
          <w:lang w:val="es-ES"/>
        </w:rPr>
        <w:t xml:space="preserve"> valor</w:t>
      </w:r>
      <w:r w:rsidR="000113F2" w:rsidRPr="00481FEF">
        <w:rPr>
          <w:lang w:val="es-ES"/>
        </w:rPr>
        <w:t>es</w:t>
      </w:r>
      <w:r w:rsidR="003B7410" w:rsidRPr="00481FEF">
        <w:rPr>
          <w:lang w:val="es-ES"/>
        </w:rPr>
        <w:t xml:space="preserve"> de las importaciones de bienes de capital y de consumo aument</w:t>
      </w:r>
      <w:r w:rsidR="000113F2" w:rsidRPr="00481FEF">
        <w:rPr>
          <w:lang w:val="es-ES"/>
        </w:rPr>
        <w:t>aron</w:t>
      </w:r>
      <w:r w:rsidR="003B7410" w:rsidRPr="00481FEF">
        <w:rPr>
          <w:lang w:val="es-ES"/>
        </w:rPr>
        <w:t xml:space="preserve"> un 17,7% y un 13,6%, respectivamente. La importación de servicios creció un 5,2%. Con ello, el déficit de bienes y servicios alcanzó el 10,9% del PIB, casi medio punto porcentual más que en 2010. El ingreso de divisas </w:t>
      </w:r>
      <w:r w:rsidR="000113F2" w:rsidRPr="00481FEF">
        <w:rPr>
          <w:lang w:val="es-ES"/>
        </w:rPr>
        <w:t>por concepto</w:t>
      </w:r>
      <w:r w:rsidR="003B7410" w:rsidRPr="00481FEF">
        <w:rPr>
          <w:lang w:val="es-ES"/>
        </w:rPr>
        <w:t xml:space="preserve"> del turismo alcanzó los 937,2 millones de dólares, es decir</w:t>
      </w:r>
      <w:r w:rsidR="003C483F">
        <w:rPr>
          <w:lang w:val="es-ES"/>
        </w:rPr>
        <w:t xml:space="preserve">, </w:t>
      </w:r>
      <w:r w:rsidR="003B7410" w:rsidRPr="00481FEF">
        <w:rPr>
          <w:lang w:val="es-ES"/>
        </w:rPr>
        <w:t>tuvo una caída de</w:t>
      </w:r>
      <w:r w:rsidR="000113F2" w:rsidRPr="00481FEF">
        <w:rPr>
          <w:lang w:val="es-ES"/>
        </w:rPr>
        <w:t>l</w:t>
      </w:r>
      <w:r w:rsidR="003B7410" w:rsidRPr="00481FEF">
        <w:rPr>
          <w:lang w:val="es-ES"/>
        </w:rPr>
        <w:t xml:space="preserve"> 4,9% </w:t>
      </w:r>
      <w:r>
        <w:rPr>
          <w:lang w:val="es-ES"/>
        </w:rPr>
        <w:br/>
      </w:r>
      <w:r w:rsidR="003B7410" w:rsidRPr="00481FEF">
        <w:rPr>
          <w:lang w:val="es-ES"/>
        </w:rPr>
        <w:t xml:space="preserve">(-14,5% en 2010). </w:t>
      </w:r>
      <w:r w:rsidR="000113F2" w:rsidRPr="00481FEF">
        <w:rPr>
          <w:lang w:val="es-ES"/>
        </w:rPr>
        <w:t>La</w:t>
      </w:r>
      <w:r w:rsidR="003B7410" w:rsidRPr="00481FEF">
        <w:rPr>
          <w:lang w:val="es-ES"/>
        </w:rPr>
        <w:t xml:space="preserve"> balan</w:t>
      </w:r>
      <w:r w:rsidR="000113F2" w:rsidRPr="00481FEF">
        <w:rPr>
          <w:lang w:val="es-ES"/>
        </w:rPr>
        <w:t>za</w:t>
      </w:r>
      <w:r w:rsidR="003B7410" w:rsidRPr="00481FEF">
        <w:rPr>
          <w:lang w:val="es-ES"/>
        </w:rPr>
        <w:t xml:space="preserve"> </w:t>
      </w:r>
      <w:r w:rsidR="000113F2" w:rsidRPr="00481FEF">
        <w:rPr>
          <w:lang w:val="es-ES"/>
        </w:rPr>
        <w:t>de</w:t>
      </w:r>
      <w:r w:rsidR="003B7410" w:rsidRPr="00481FEF">
        <w:rPr>
          <w:lang w:val="es-ES"/>
        </w:rPr>
        <w:t xml:space="preserve"> renta pasó del 2,9% del PIB en 2010 al 3,3% del PIB en 2011. </w:t>
      </w:r>
      <w:r w:rsidR="000113F2" w:rsidRPr="00481FEF">
        <w:rPr>
          <w:lang w:val="es-ES"/>
        </w:rPr>
        <w:t>La</w:t>
      </w:r>
      <w:r w:rsidR="003B7410" w:rsidRPr="00481FEF">
        <w:rPr>
          <w:lang w:val="es-ES"/>
        </w:rPr>
        <w:t xml:space="preserve"> balan</w:t>
      </w:r>
      <w:r w:rsidR="000113F2" w:rsidRPr="00481FEF">
        <w:rPr>
          <w:lang w:val="es-ES"/>
        </w:rPr>
        <w:t>za de</w:t>
      </w:r>
      <w:r w:rsidR="003B7410" w:rsidRPr="00481FEF">
        <w:rPr>
          <w:lang w:val="es-ES"/>
        </w:rPr>
        <w:t xml:space="preserve"> transferencias corrientes disminuyó</w:t>
      </w:r>
      <w:r w:rsidR="003C483F">
        <w:rPr>
          <w:lang w:val="es-ES"/>
        </w:rPr>
        <w:t>,</w:t>
      </w:r>
      <w:r w:rsidR="003B7410" w:rsidRPr="00481FEF">
        <w:rPr>
          <w:lang w:val="es-ES"/>
        </w:rPr>
        <w:t xml:space="preserve"> al representar el 11,1% del PIB en 2011, frente al 11,9% del PIB un año antes, pese a que las remesas familiares (4.378 millones de dólares) aumentaron un 6,1% en 2011. Con ello, el déficit de la cuenta corriente se ubicó en un 3,1% del PIB en 2011, el doble de 2010.</w:t>
      </w:r>
    </w:p>
    <w:p w:rsidR="009221A1" w:rsidRPr="00481FEF" w:rsidRDefault="009221A1" w:rsidP="00481FEF">
      <w:pPr>
        <w:rPr>
          <w:lang w:val="es-ES"/>
        </w:rPr>
      </w:pPr>
    </w:p>
    <w:p w:rsidR="000113F2" w:rsidRDefault="009221A1" w:rsidP="00481FEF">
      <w:pPr>
        <w:rPr>
          <w:lang w:val="es-ES"/>
        </w:rPr>
      </w:pPr>
      <w:r>
        <w:rPr>
          <w:lang w:val="es-ES"/>
        </w:rPr>
        <w:tab/>
      </w:r>
      <w:r w:rsidR="003B7410" w:rsidRPr="00481FEF">
        <w:rPr>
          <w:lang w:val="es-ES"/>
        </w:rPr>
        <w:t xml:space="preserve">El ingreso de inversión extranjera directa </w:t>
      </w:r>
      <w:r w:rsidR="000113F2" w:rsidRPr="00481FEF">
        <w:rPr>
          <w:lang w:val="es-ES"/>
        </w:rPr>
        <w:t>(</w:t>
      </w:r>
      <w:proofErr w:type="spellStart"/>
      <w:r w:rsidR="000113F2" w:rsidRPr="00481FEF">
        <w:rPr>
          <w:lang w:val="es-ES"/>
        </w:rPr>
        <w:t>IED</w:t>
      </w:r>
      <w:proofErr w:type="spellEnd"/>
      <w:r w:rsidR="000113F2" w:rsidRPr="00481FEF">
        <w:rPr>
          <w:lang w:val="es-ES"/>
        </w:rPr>
        <w:t xml:space="preserve">) </w:t>
      </w:r>
      <w:r w:rsidR="003B7410" w:rsidRPr="00481FEF">
        <w:rPr>
          <w:lang w:val="es-ES"/>
        </w:rPr>
        <w:t>creció un 22,2% y equivalió a un 1,9% del PIB, al tiempo que el balance de las cuentas financiera y de capitales fue positivo por 2.001,9 millones de dólares. El ingreso neto de capitales (incluidos los errores y las omisiones) superó el déficit de la cuenta corriente, de manera que la balanza de pagos tuvo un saldo positivo de 205,9 millones de dólares (alrededor del 0,44% del PIB), un 69,6% menos que el año anterior.</w:t>
      </w:r>
    </w:p>
    <w:p w:rsidR="009221A1" w:rsidRDefault="009221A1" w:rsidP="00481FEF">
      <w:pPr>
        <w:rPr>
          <w:lang w:val="es-ES"/>
        </w:rPr>
      </w:pPr>
    </w:p>
    <w:p w:rsidR="009221A1" w:rsidRPr="00481FEF" w:rsidRDefault="009221A1" w:rsidP="00481FEF">
      <w:pPr>
        <w:rPr>
          <w:lang w:val="es-ES"/>
        </w:rPr>
      </w:pPr>
    </w:p>
    <w:p w:rsidR="000113F2" w:rsidRPr="009221A1" w:rsidRDefault="003B7410" w:rsidP="009221A1">
      <w:pPr>
        <w:jc w:val="center"/>
        <w:rPr>
          <w:b/>
        </w:rPr>
      </w:pPr>
      <w:r w:rsidRPr="009221A1">
        <w:rPr>
          <w:b/>
        </w:rPr>
        <w:t xml:space="preserve">4. Rasgos principales del primer trimestre </w:t>
      </w:r>
      <w:r w:rsidR="000113F2" w:rsidRPr="009221A1">
        <w:rPr>
          <w:b/>
        </w:rPr>
        <w:t xml:space="preserve">de 2012 </w:t>
      </w:r>
      <w:r w:rsidRPr="009221A1">
        <w:rPr>
          <w:b/>
        </w:rPr>
        <w:t xml:space="preserve">y perspectivas para </w:t>
      </w:r>
      <w:r w:rsidR="000113F2" w:rsidRPr="009221A1">
        <w:rPr>
          <w:b/>
        </w:rPr>
        <w:t>todo el año</w:t>
      </w:r>
    </w:p>
    <w:p w:rsidR="009221A1" w:rsidRDefault="009221A1" w:rsidP="00481FEF">
      <w:pPr>
        <w:rPr>
          <w:lang w:val="es-ES"/>
        </w:rPr>
      </w:pPr>
    </w:p>
    <w:p w:rsidR="000113F2" w:rsidRDefault="003B7410" w:rsidP="00481FEF">
      <w:pPr>
        <w:rPr>
          <w:lang w:val="es-ES"/>
        </w:rPr>
      </w:pPr>
      <w:r w:rsidRPr="00481FEF">
        <w:rPr>
          <w:lang w:val="es-ES"/>
        </w:rPr>
        <w:t xml:space="preserve">La actividad económica, medida mediante el </w:t>
      </w:r>
      <w:r w:rsidR="000113F2" w:rsidRPr="00481FEF">
        <w:rPr>
          <w:lang w:val="es-ES"/>
        </w:rPr>
        <w:t>índice mensual de actividad económica (</w:t>
      </w:r>
      <w:proofErr w:type="spellStart"/>
      <w:r w:rsidRPr="00481FEF">
        <w:rPr>
          <w:lang w:val="es-ES"/>
        </w:rPr>
        <w:t>IMAE</w:t>
      </w:r>
      <w:proofErr w:type="spellEnd"/>
      <w:r w:rsidRPr="00481FEF">
        <w:rPr>
          <w:lang w:val="es-ES"/>
        </w:rPr>
        <w:t>) en serie</w:t>
      </w:r>
      <w:r w:rsidR="000113F2" w:rsidRPr="00481FEF">
        <w:rPr>
          <w:lang w:val="es-ES"/>
        </w:rPr>
        <w:t xml:space="preserve"> </w:t>
      </w:r>
      <w:r w:rsidRPr="00481FEF">
        <w:rPr>
          <w:lang w:val="es-ES"/>
        </w:rPr>
        <w:t>tendencia</w:t>
      </w:r>
      <w:r w:rsidR="000113F2" w:rsidRPr="00481FEF">
        <w:rPr>
          <w:lang w:val="es-ES"/>
        </w:rPr>
        <w:t>-</w:t>
      </w:r>
      <w:r w:rsidRPr="00481FEF">
        <w:rPr>
          <w:lang w:val="es-ES"/>
        </w:rPr>
        <w:t xml:space="preserve">ciclo, mostró en marzo de 2012 una aceleración, con un alza anualizada del 3,5%. En el mismo mes de 2011, el alza correspondiente fue del 3,9%. </w:t>
      </w:r>
      <w:r w:rsidR="005A2B09" w:rsidRPr="00481FEF">
        <w:rPr>
          <w:lang w:val="es-ES"/>
        </w:rPr>
        <w:t>Hasta</w:t>
      </w:r>
      <w:r w:rsidRPr="00481FEF">
        <w:rPr>
          <w:lang w:val="es-ES"/>
        </w:rPr>
        <w:t xml:space="preserve"> marzo de 2012, la inflación interanual </w:t>
      </w:r>
      <w:r w:rsidR="000113F2" w:rsidRPr="00481FEF">
        <w:rPr>
          <w:lang w:val="es-ES"/>
        </w:rPr>
        <w:t>se ubicó en</w:t>
      </w:r>
      <w:r w:rsidRPr="00481FEF">
        <w:rPr>
          <w:lang w:val="es-ES"/>
        </w:rPr>
        <w:t xml:space="preserve"> el 4,6%, por debajo del 5% informado en </w:t>
      </w:r>
      <w:r w:rsidR="000113F2" w:rsidRPr="00481FEF">
        <w:rPr>
          <w:lang w:val="es-ES"/>
        </w:rPr>
        <w:t>igual</w:t>
      </w:r>
      <w:r w:rsidRPr="00481FEF">
        <w:rPr>
          <w:lang w:val="es-ES"/>
        </w:rPr>
        <w:t xml:space="preserve"> mes de 2011. </w:t>
      </w:r>
    </w:p>
    <w:p w:rsidR="009221A1" w:rsidRPr="00481FEF" w:rsidRDefault="009221A1" w:rsidP="00481FEF">
      <w:pPr>
        <w:rPr>
          <w:lang w:val="es-ES"/>
        </w:rPr>
      </w:pPr>
    </w:p>
    <w:p w:rsidR="000113F2" w:rsidRDefault="009221A1" w:rsidP="00481FEF">
      <w:pPr>
        <w:rPr>
          <w:lang w:val="es-ES"/>
        </w:rPr>
      </w:pPr>
      <w:r>
        <w:rPr>
          <w:lang w:val="es-ES"/>
        </w:rPr>
        <w:tab/>
      </w:r>
      <w:r w:rsidR="003B7410" w:rsidRPr="00481FEF">
        <w:rPr>
          <w:lang w:val="es-ES"/>
        </w:rPr>
        <w:t xml:space="preserve">Si bien hay que tomar en cuenta una estacionalidad alta, </w:t>
      </w:r>
      <w:r w:rsidR="003C483F">
        <w:rPr>
          <w:lang w:val="es-ES"/>
        </w:rPr>
        <w:t>hasta</w:t>
      </w:r>
      <w:r w:rsidR="003B7410" w:rsidRPr="00481FEF">
        <w:rPr>
          <w:lang w:val="es-ES"/>
        </w:rPr>
        <w:t xml:space="preserve"> marzo de 2012</w:t>
      </w:r>
      <w:r w:rsidR="000113F2" w:rsidRPr="00481FEF">
        <w:rPr>
          <w:lang w:val="es-ES"/>
        </w:rPr>
        <w:t>,</w:t>
      </w:r>
      <w:r w:rsidR="003B7410" w:rsidRPr="00481FEF">
        <w:rPr>
          <w:lang w:val="es-ES"/>
        </w:rPr>
        <w:t xml:space="preserve"> el </w:t>
      </w:r>
      <w:r w:rsidR="000113F2" w:rsidRPr="00481FEF">
        <w:rPr>
          <w:lang w:val="es-ES"/>
        </w:rPr>
        <w:t>g</w:t>
      </w:r>
      <w:r w:rsidR="003B7410" w:rsidRPr="00481FEF">
        <w:rPr>
          <w:lang w:val="es-ES"/>
        </w:rPr>
        <w:t xml:space="preserve">obierno </w:t>
      </w:r>
      <w:r w:rsidR="000113F2" w:rsidRPr="00481FEF">
        <w:rPr>
          <w:lang w:val="es-ES"/>
        </w:rPr>
        <w:t>c</w:t>
      </w:r>
      <w:r w:rsidR="003B7410" w:rsidRPr="00481FEF">
        <w:rPr>
          <w:lang w:val="es-ES"/>
        </w:rPr>
        <w:t xml:space="preserve">entral registró un superávit de 892,1 millones de quetzales (equivalente al 0,24% del PIB de 2011). Los gastos totales alcanzaron los 10.480,4 millones de quetzales, un 4,9% menos que </w:t>
      </w:r>
      <w:r w:rsidR="005A2B09" w:rsidRPr="00481FEF">
        <w:rPr>
          <w:lang w:val="es-ES"/>
        </w:rPr>
        <w:t>hasta</w:t>
      </w:r>
      <w:r w:rsidR="003B7410" w:rsidRPr="00481FEF">
        <w:rPr>
          <w:lang w:val="es-ES"/>
        </w:rPr>
        <w:t xml:space="preserve"> marzo de 2011, debido al decremento </w:t>
      </w:r>
      <w:r w:rsidR="000113F2" w:rsidRPr="00481FEF">
        <w:rPr>
          <w:lang w:val="es-ES"/>
        </w:rPr>
        <w:t>d</w:t>
      </w:r>
      <w:r w:rsidR="003B7410" w:rsidRPr="00481FEF">
        <w:rPr>
          <w:lang w:val="es-ES"/>
        </w:rPr>
        <w:t>el gasto de capital (30%). En tanto, el gasto corriente aumentó un 1,6%</w:t>
      </w:r>
      <w:r w:rsidR="000113F2" w:rsidRPr="00481FEF">
        <w:rPr>
          <w:lang w:val="es-ES"/>
        </w:rPr>
        <w:t xml:space="preserve"> </w:t>
      </w:r>
      <w:r w:rsidR="003B7410" w:rsidRPr="00481FEF">
        <w:rPr>
          <w:lang w:val="es-ES"/>
        </w:rPr>
        <w:t xml:space="preserve">de marzo de 2011 a marzo de 2012. Los ingresos totales del primer trimestre </w:t>
      </w:r>
      <w:r w:rsidR="000113F2" w:rsidRPr="00481FEF">
        <w:rPr>
          <w:lang w:val="es-ES"/>
        </w:rPr>
        <w:t>se elevaron</w:t>
      </w:r>
      <w:r w:rsidR="003B7410" w:rsidRPr="00481FEF">
        <w:rPr>
          <w:lang w:val="es-ES"/>
        </w:rPr>
        <w:t xml:space="preserve"> nominalmente un 6% con respecto al mismo período de 2011, sobre todo debido al incremento de la captación tributaria (6,1%).</w:t>
      </w:r>
    </w:p>
    <w:p w:rsidR="009221A1" w:rsidRPr="00481FEF" w:rsidRDefault="009221A1" w:rsidP="00481FEF">
      <w:pPr>
        <w:rPr>
          <w:lang w:val="es-ES"/>
        </w:rPr>
      </w:pPr>
    </w:p>
    <w:p w:rsidR="000113F2" w:rsidRDefault="009221A1" w:rsidP="00481FEF">
      <w:pPr>
        <w:rPr>
          <w:lang w:val="es-ES"/>
        </w:rPr>
      </w:pPr>
      <w:r>
        <w:rPr>
          <w:lang w:val="es-ES"/>
        </w:rPr>
        <w:tab/>
      </w:r>
      <w:r w:rsidR="003B7410" w:rsidRPr="00481FEF">
        <w:rPr>
          <w:lang w:val="es-ES"/>
        </w:rPr>
        <w:t xml:space="preserve">La </w:t>
      </w:r>
      <w:r w:rsidR="000113F2" w:rsidRPr="00481FEF">
        <w:rPr>
          <w:lang w:val="es-ES"/>
        </w:rPr>
        <w:t>t</w:t>
      </w:r>
      <w:r w:rsidR="003B7410" w:rsidRPr="00481FEF">
        <w:rPr>
          <w:lang w:val="es-ES"/>
        </w:rPr>
        <w:t xml:space="preserve">asa de </w:t>
      </w:r>
      <w:r w:rsidR="000113F2" w:rsidRPr="00481FEF">
        <w:rPr>
          <w:lang w:val="es-ES"/>
        </w:rPr>
        <w:t>i</w:t>
      </w:r>
      <w:r w:rsidR="003B7410" w:rsidRPr="00481FEF">
        <w:rPr>
          <w:lang w:val="es-ES"/>
        </w:rPr>
        <w:t xml:space="preserve">nterés </w:t>
      </w:r>
      <w:r w:rsidR="000113F2" w:rsidRPr="00481FEF">
        <w:rPr>
          <w:lang w:val="es-ES"/>
        </w:rPr>
        <w:t>l</w:t>
      </w:r>
      <w:r w:rsidR="003B7410" w:rsidRPr="00481FEF">
        <w:rPr>
          <w:lang w:val="es-ES"/>
        </w:rPr>
        <w:t xml:space="preserve">íder de </w:t>
      </w:r>
      <w:r w:rsidR="000113F2" w:rsidRPr="00481FEF">
        <w:rPr>
          <w:lang w:val="es-ES"/>
        </w:rPr>
        <w:t>p</w:t>
      </w:r>
      <w:r w:rsidR="003B7410" w:rsidRPr="00481FEF">
        <w:rPr>
          <w:lang w:val="es-ES"/>
        </w:rPr>
        <w:t xml:space="preserve">olítica </w:t>
      </w:r>
      <w:r w:rsidR="000113F2" w:rsidRPr="00481FEF">
        <w:rPr>
          <w:lang w:val="es-ES"/>
        </w:rPr>
        <w:t>m</w:t>
      </w:r>
      <w:r w:rsidR="003B7410" w:rsidRPr="00481FEF">
        <w:rPr>
          <w:lang w:val="es-ES"/>
        </w:rPr>
        <w:t xml:space="preserve">onetaria </w:t>
      </w:r>
      <w:r w:rsidR="005A2B09" w:rsidRPr="00481FEF">
        <w:rPr>
          <w:lang w:val="es-ES"/>
        </w:rPr>
        <w:t>hasta</w:t>
      </w:r>
      <w:r w:rsidR="003B7410" w:rsidRPr="00481FEF">
        <w:rPr>
          <w:lang w:val="es-ES"/>
        </w:rPr>
        <w:t xml:space="preserve"> marzo de 2012 se ha mantenido en un 5,5%. A su vez, las tasas nominales del sistema bancario, tanto activas como pasivas, mostraron </w:t>
      </w:r>
      <w:r w:rsidR="000113F2" w:rsidRPr="00481FEF">
        <w:rPr>
          <w:lang w:val="es-ES"/>
        </w:rPr>
        <w:t>leves variaciones en</w:t>
      </w:r>
      <w:r w:rsidR="003B7410" w:rsidRPr="00481FEF">
        <w:rPr>
          <w:lang w:val="es-ES"/>
        </w:rPr>
        <w:t xml:space="preserve"> </w:t>
      </w:r>
      <w:r w:rsidR="000113F2" w:rsidRPr="00481FEF">
        <w:rPr>
          <w:lang w:val="es-ES"/>
        </w:rPr>
        <w:t>el promedio ponderado</w:t>
      </w:r>
      <w:r w:rsidR="003B7410" w:rsidRPr="00481FEF">
        <w:rPr>
          <w:lang w:val="es-ES"/>
        </w:rPr>
        <w:t xml:space="preserve"> y se ubicaron en un 13,39% y un 5,21%, respectivamente (frente a un 13,37% </w:t>
      </w:r>
      <w:r w:rsidR="003B7410" w:rsidRPr="00481FEF">
        <w:rPr>
          <w:lang w:val="es-ES"/>
        </w:rPr>
        <w:lastRenderedPageBreak/>
        <w:t>y un 5,30% en marzo de 2011). En marzo de 2012 se observó una apreciación nominal del 1,3% con respecto a diciembre de 2011 y las reservas monetarias internacional</w:t>
      </w:r>
      <w:r>
        <w:rPr>
          <w:lang w:val="es-ES"/>
        </w:rPr>
        <w:t>es netas alcanzaron los 6.140,8 </w:t>
      </w:r>
      <w:r w:rsidR="003B7410" w:rsidRPr="00481FEF">
        <w:rPr>
          <w:lang w:val="es-ES"/>
        </w:rPr>
        <w:t>millones de dólares (un 0,8% menos que en diciembre de 2011).</w:t>
      </w:r>
    </w:p>
    <w:p w:rsidR="009221A1" w:rsidRPr="00481FEF" w:rsidRDefault="009221A1" w:rsidP="00481FEF">
      <w:pPr>
        <w:rPr>
          <w:lang w:val="es-ES"/>
        </w:rPr>
      </w:pPr>
    </w:p>
    <w:p w:rsidR="000113F2" w:rsidRPr="009221A1" w:rsidRDefault="009221A1" w:rsidP="00481FEF">
      <w:pPr>
        <w:rPr>
          <w:spacing w:val="2"/>
          <w:lang w:val="es-ES"/>
        </w:rPr>
      </w:pPr>
      <w:r w:rsidRPr="009221A1">
        <w:rPr>
          <w:spacing w:val="2"/>
          <w:lang w:val="es-ES"/>
        </w:rPr>
        <w:tab/>
      </w:r>
      <w:r w:rsidR="003B7410" w:rsidRPr="009221A1">
        <w:rPr>
          <w:spacing w:val="2"/>
          <w:lang w:val="es-ES"/>
        </w:rPr>
        <w:t xml:space="preserve">Según datos del Banco de Guatemala, el </w:t>
      </w:r>
      <w:r w:rsidR="000113F2" w:rsidRPr="009221A1">
        <w:rPr>
          <w:spacing w:val="2"/>
          <w:lang w:val="es-ES"/>
        </w:rPr>
        <w:t xml:space="preserve">valor </w:t>
      </w:r>
      <w:r w:rsidR="003B7410" w:rsidRPr="009221A1">
        <w:rPr>
          <w:spacing w:val="2"/>
          <w:lang w:val="es-ES"/>
        </w:rPr>
        <w:t xml:space="preserve">total de las exportaciones del comercio general </w:t>
      </w:r>
      <w:r w:rsidR="000113F2" w:rsidRPr="009221A1">
        <w:rPr>
          <w:spacing w:val="2"/>
          <w:lang w:val="es-ES"/>
        </w:rPr>
        <w:t xml:space="preserve">de enero </w:t>
      </w:r>
      <w:r w:rsidR="003B7410" w:rsidRPr="009221A1">
        <w:rPr>
          <w:spacing w:val="2"/>
          <w:lang w:val="es-ES"/>
        </w:rPr>
        <w:t xml:space="preserve">a marzo de 2012 se situó en 2.734,2 millones de dólares, un 0,6% más que el registrado en el mismo trimestre de 2011. Los productos cuya exportación </w:t>
      </w:r>
      <w:r w:rsidR="000113F2" w:rsidRPr="009221A1">
        <w:rPr>
          <w:spacing w:val="2"/>
          <w:lang w:val="es-ES"/>
        </w:rPr>
        <w:t xml:space="preserve">más </w:t>
      </w:r>
      <w:r w:rsidR="003B7410" w:rsidRPr="009221A1">
        <w:rPr>
          <w:spacing w:val="2"/>
          <w:lang w:val="es-ES"/>
        </w:rPr>
        <w:t>creció en el período fueron café (11,3%), azúcar (11,1%), artículos de vestuario (9,8%), banano</w:t>
      </w:r>
      <w:r w:rsidR="000113F2" w:rsidRPr="009221A1">
        <w:rPr>
          <w:spacing w:val="2"/>
          <w:lang w:val="es-ES"/>
        </w:rPr>
        <w:t>s</w:t>
      </w:r>
      <w:r w:rsidR="003B7410" w:rsidRPr="009221A1">
        <w:rPr>
          <w:spacing w:val="2"/>
          <w:lang w:val="es-ES"/>
        </w:rPr>
        <w:t xml:space="preserve"> (6,1%) y piedras y metales preciosos y semipreciosos (6%), que en conjunto representaron el 44,3% del valor total exportado. El valor de las importaciones alcanzó los 4.123,5 millones de dólares, un 7% más que el </w:t>
      </w:r>
      <w:r w:rsidR="000113F2" w:rsidRPr="009221A1">
        <w:rPr>
          <w:spacing w:val="2"/>
          <w:lang w:val="es-ES"/>
        </w:rPr>
        <w:t>monto</w:t>
      </w:r>
      <w:r w:rsidR="003B7410" w:rsidRPr="009221A1">
        <w:rPr>
          <w:spacing w:val="2"/>
          <w:lang w:val="es-ES"/>
        </w:rPr>
        <w:t xml:space="preserve"> registrado en igual trimestre de 2011. El aumento </w:t>
      </w:r>
      <w:r w:rsidR="005A2B09" w:rsidRPr="009221A1">
        <w:rPr>
          <w:spacing w:val="2"/>
          <w:lang w:val="es-ES"/>
        </w:rPr>
        <w:t>de</w:t>
      </w:r>
      <w:r w:rsidR="003B7410" w:rsidRPr="009221A1">
        <w:rPr>
          <w:spacing w:val="2"/>
          <w:lang w:val="es-ES"/>
        </w:rPr>
        <w:t xml:space="preserve"> las importaciones fue impulsado por los rubros de combustibles y lubricantes (15,5%), bienes de consumo </w:t>
      </w:r>
      <w:proofErr w:type="spellStart"/>
      <w:r w:rsidR="003B7410" w:rsidRPr="009221A1">
        <w:rPr>
          <w:spacing w:val="2"/>
          <w:lang w:val="es-ES"/>
        </w:rPr>
        <w:t>semiduraderos</w:t>
      </w:r>
      <w:proofErr w:type="spellEnd"/>
      <w:r w:rsidR="003B7410" w:rsidRPr="009221A1">
        <w:rPr>
          <w:spacing w:val="2"/>
          <w:lang w:val="es-ES"/>
        </w:rPr>
        <w:t xml:space="preserve"> (15,3%), bienes de capital para la industria, </w:t>
      </w:r>
      <w:r w:rsidR="000113F2" w:rsidRPr="009221A1">
        <w:rPr>
          <w:spacing w:val="2"/>
          <w:lang w:val="es-ES"/>
        </w:rPr>
        <w:t xml:space="preserve">las </w:t>
      </w:r>
      <w:r w:rsidR="003B7410" w:rsidRPr="009221A1">
        <w:rPr>
          <w:spacing w:val="2"/>
          <w:lang w:val="es-ES"/>
        </w:rPr>
        <w:t xml:space="preserve">telecomunicaciones y </w:t>
      </w:r>
      <w:r w:rsidR="000113F2" w:rsidRPr="009221A1">
        <w:rPr>
          <w:spacing w:val="2"/>
          <w:lang w:val="es-ES"/>
        </w:rPr>
        <w:t xml:space="preserve">la </w:t>
      </w:r>
      <w:r w:rsidR="003B7410" w:rsidRPr="009221A1">
        <w:rPr>
          <w:spacing w:val="2"/>
          <w:lang w:val="es-ES"/>
        </w:rPr>
        <w:t>construcción (8,1%)</w:t>
      </w:r>
      <w:r w:rsidR="000113F2" w:rsidRPr="009221A1">
        <w:rPr>
          <w:spacing w:val="2"/>
          <w:lang w:val="es-ES"/>
        </w:rPr>
        <w:t>,</w:t>
      </w:r>
      <w:r w:rsidR="003B7410" w:rsidRPr="009221A1">
        <w:rPr>
          <w:spacing w:val="2"/>
          <w:lang w:val="es-ES"/>
        </w:rPr>
        <w:t xml:space="preserve"> y bienes de consumo no duraderos (3,7%), los que representaron el 81,2% de la variación total observada. De este modo, el balance comercial </w:t>
      </w:r>
      <w:r w:rsidR="005A2B09" w:rsidRPr="009221A1">
        <w:rPr>
          <w:spacing w:val="2"/>
          <w:lang w:val="es-ES"/>
        </w:rPr>
        <w:t>hasta</w:t>
      </w:r>
      <w:r w:rsidR="003B7410" w:rsidRPr="009221A1">
        <w:rPr>
          <w:spacing w:val="2"/>
          <w:lang w:val="es-ES"/>
        </w:rPr>
        <w:t xml:space="preserve"> marzo de 2012 acusó un déficit de 1.389,3 millones de dólares, un 22,2% más respecto del mismo período de 2011, por lo que </w:t>
      </w:r>
      <w:r w:rsidR="000113F2" w:rsidRPr="009221A1">
        <w:rPr>
          <w:spacing w:val="2"/>
          <w:lang w:val="es-ES"/>
        </w:rPr>
        <w:t xml:space="preserve">en 2012 </w:t>
      </w:r>
      <w:r w:rsidR="003B7410" w:rsidRPr="009221A1">
        <w:rPr>
          <w:spacing w:val="2"/>
          <w:lang w:val="es-ES"/>
        </w:rPr>
        <w:t>puede esperarse una ampliación de la brecha comercial. Hasta</w:t>
      </w:r>
      <w:r>
        <w:rPr>
          <w:spacing w:val="2"/>
          <w:lang w:val="es-ES"/>
        </w:rPr>
        <w:t xml:space="preserve"> marzo de 2012 </w:t>
      </w:r>
      <w:r w:rsidR="003B7410" w:rsidRPr="009221A1">
        <w:rPr>
          <w:spacing w:val="2"/>
          <w:lang w:val="es-ES"/>
        </w:rPr>
        <w:t>se recibieron 1.057,6 millones de dólares por concepto de remesas</w:t>
      </w:r>
      <w:r w:rsidR="000113F2" w:rsidRPr="009221A1">
        <w:rPr>
          <w:spacing w:val="2"/>
          <w:lang w:val="es-ES"/>
        </w:rPr>
        <w:t xml:space="preserve"> (</w:t>
      </w:r>
      <w:r w:rsidR="003B7410" w:rsidRPr="009221A1">
        <w:rPr>
          <w:spacing w:val="2"/>
          <w:lang w:val="es-ES"/>
        </w:rPr>
        <w:t>un 8,8% más que en igual período de 2011</w:t>
      </w:r>
      <w:r w:rsidR="000113F2" w:rsidRPr="009221A1">
        <w:rPr>
          <w:spacing w:val="2"/>
          <w:lang w:val="es-ES"/>
        </w:rPr>
        <w:t>)</w:t>
      </w:r>
      <w:r w:rsidR="003B7410" w:rsidRPr="009221A1">
        <w:rPr>
          <w:spacing w:val="2"/>
          <w:lang w:val="es-ES"/>
        </w:rPr>
        <w:t>.</w:t>
      </w:r>
    </w:p>
    <w:p w:rsidR="009221A1" w:rsidRPr="00481FEF" w:rsidRDefault="009221A1" w:rsidP="00481FEF">
      <w:pPr>
        <w:rPr>
          <w:lang w:val="es-ES"/>
        </w:rPr>
      </w:pPr>
    </w:p>
    <w:p w:rsidR="000113F2" w:rsidRDefault="009221A1" w:rsidP="00481FEF">
      <w:pPr>
        <w:rPr>
          <w:lang w:val="es-ES"/>
        </w:rPr>
      </w:pPr>
      <w:r>
        <w:rPr>
          <w:lang w:val="es-ES"/>
        </w:rPr>
        <w:tab/>
      </w:r>
      <w:r w:rsidR="003B7410" w:rsidRPr="00481FEF">
        <w:rPr>
          <w:lang w:val="es-ES"/>
        </w:rPr>
        <w:t xml:space="preserve">Para el cierre de 2012 se prevé que la economía crezca un 3,5% debido a la expectativa de un moderado desempeño exportador, vinculado al menor precio de exportaciones como el café y el azúcar, a un impulso más modesto </w:t>
      </w:r>
      <w:r w:rsidR="005A2B09" w:rsidRPr="00481FEF">
        <w:rPr>
          <w:lang w:val="es-ES"/>
        </w:rPr>
        <w:t>de</w:t>
      </w:r>
      <w:r w:rsidR="003B7410" w:rsidRPr="00481FEF">
        <w:rPr>
          <w:lang w:val="es-ES"/>
        </w:rPr>
        <w:t xml:space="preserve"> la demanda de Centroamérica y los Estados Unidos, y a una leve desaceleración del crédito interno. El Banco de Guatemala proyecta un rango de inflación de entre el 3,</w:t>
      </w:r>
      <w:r>
        <w:rPr>
          <w:lang w:val="es-ES"/>
        </w:rPr>
        <w:t>5% y el 5,5%.</w:t>
      </w:r>
    </w:p>
    <w:p w:rsidR="009221A1" w:rsidRPr="00481FEF" w:rsidRDefault="009221A1" w:rsidP="00481FEF">
      <w:pPr>
        <w:rPr>
          <w:lang w:val="es-ES"/>
        </w:rPr>
      </w:pPr>
    </w:p>
    <w:p w:rsidR="000113F2" w:rsidRPr="00481FEF" w:rsidRDefault="009221A1" w:rsidP="00481FEF">
      <w:pPr>
        <w:rPr>
          <w:lang w:val="es-ES"/>
        </w:rPr>
      </w:pPr>
      <w:r>
        <w:rPr>
          <w:lang w:val="es-ES"/>
        </w:rPr>
        <w:tab/>
      </w:r>
      <w:r w:rsidR="003B7410" w:rsidRPr="00481FEF">
        <w:rPr>
          <w:lang w:val="es-ES"/>
        </w:rPr>
        <w:t xml:space="preserve">A inicios de 2012, el Congreso aprobó una reforma fiscal y la </w:t>
      </w:r>
      <w:r w:rsidR="000113F2" w:rsidRPr="00481FEF">
        <w:rPr>
          <w:lang w:val="es-ES"/>
        </w:rPr>
        <w:t>l</w:t>
      </w:r>
      <w:r w:rsidR="003B7410" w:rsidRPr="00481FEF">
        <w:rPr>
          <w:lang w:val="es-ES"/>
        </w:rPr>
        <w:t xml:space="preserve">ey </w:t>
      </w:r>
      <w:proofErr w:type="spellStart"/>
      <w:r w:rsidR="000113F2" w:rsidRPr="00481FEF">
        <w:rPr>
          <w:lang w:val="es-ES"/>
        </w:rPr>
        <w:t>a</w:t>
      </w:r>
      <w:r w:rsidR="003B7410" w:rsidRPr="00481FEF">
        <w:rPr>
          <w:lang w:val="es-ES"/>
        </w:rPr>
        <w:t>ntievasión</w:t>
      </w:r>
      <w:proofErr w:type="spellEnd"/>
      <w:r w:rsidR="003B7410" w:rsidRPr="00481FEF">
        <w:rPr>
          <w:lang w:val="es-ES"/>
        </w:rPr>
        <w:t xml:space="preserve"> II, que </w:t>
      </w:r>
      <w:r w:rsidR="000113F2" w:rsidRPr="00481FEF">
        <w:rPr>
          <w:lang w:val="es-ES"/>
        </w:rPr>
        <w:t>aportará</w:t>
      </w:r>
      <w:r w:rsidR="003B7410" w:rsidRPr="00481FEF">
        <w:rPr>
          <w:lang w:val="es-ES"/>
        </w:rPr>
        <w:t xml:space="preserve"> ingresos extraordinarios cercanos a 1,5 puntos porcentuales del PIB para el período 2012-2015 (0,30 en 2012, 1,30 en 2013, 1,47 en 2014 y 1,4 en 2015). Para finales de 2012, el gobierno estima un déficit fiscal del 2,4% del PIB. Además, prevé un déficit de la cuenta corriente del 3,7% del PIB y que la </w:t>
      </w:r>
      <w:proofErr w:type="spellStart"/>
      <w:r w:rsidR="000113F2" w:rsidRPr="00481FEF">
        <w:rPr>
          <w:lang w:val="es-ES"/>
        </w:rPr>
        <w:t>IED</w:t>
      </w:r>
      <w:proofErr w:type="spellEnd"/>
      <w:r w:rsidR="003B7410" w:rsidRPr="00481FEF">
        <w:rPr>
          <w:lang w:val="es-ES"/>
        </w:rPr>
        <w:t xml:space="preserve"> llegue a 1.003 millones de dólares (</w:t>
      </w:r>
      <w:r w:rsidR="000113F2" w:rsidRPr="00481FEF">
        <w:rPr>
          <w:lang w:val="es-ES"/>
        </w:rPr>
        <w:t>un</w:t>
      </w:r>
      <w:r w:rsidR="003B7410" w:rsidRPr="00481FEF">
        <w:rPr>
          <w:lang w:val="es-ES"/>
        </w:rPr>
        <w:t xml:space="preserve"> 2,1% del PIB), principalmente destinada a rubros como telecomunicaciones y energía (hidroeléctrica).</w:t>
      </w:r>
    </w:p>
    <w:sectPr w:rsidR="000113F2" w:rsidRPr="00481FEF" w:rsidSect="00481FEF">
      <w:headerReference w:type="even" r:id="rId8"/>
      <w:headerReference w:type="default" r:id="rId9"/>
      <w:pgSz w:w="12240" w:h="15840" w:code="1"/>
      <w:pgMar w:top="1939" w:right="1440" w:bottom="1440" w:left="1440" w:header="1134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483F" w:rsidRDefault="003C483F">
      <w:r>
        <w:separator/>
      </w:r>
    </w:p>
  </w:endnote>
  <w:endnote w:type="continuationSeparator" w:id="0">
    <w:p w:rsidR="003C483F" w:rsidRDefault="003C48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483F" w:rsidRDefault="003C483F">
      <w:r>
        <w:separator/>
      </w:r>
    </w:p>
  </w:footnote>
  <w:footnote w:type="continuationSeparator" w:id="0">
    <w:p w:rsidR="003C483F" w:rsidRDefault="003C48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483F" w:rsidRDefault="003C483F">
    <w:pPr>
      <w:rPr>
        <w:sz w:val="18"/>
        <w:szCs w:val="18"/>
        <w:lang w:val="es-ES"/>
      </w:rPr>
    </w:pPr>
    <w:r>
      <w:rPr>
        <w:sz w:val="18"/>
        <w:szCs w:val="18"/>
        <w:lang w:val="es-ES"/>
      </w:rPr>
      <w:t xml:space="preserve"> </w:t>
    </w:r>
    <w:r>
      <w:rPr>
        <w:sz w:val="18"/>
        <w:szCs w:val="18"/>
        <w:lang w:val="es-ES"/>
      </w:rPr>
      <w:fldChar w:fldCharType="begin"/>
    </w:r>
    <w:r>
      <w:rPr>
        <w:sz w:val="18"/>
        <w:szCs w:val="18"/>
        <w:lang w:val="es-ES"/>
      </w:rPr>
      <w:instrText xml:space="preserve"> PAGE </w:instrText>
    </w:r>
    <w:r>
      <w:rPr>
        <w:sz w:val="18"/>
        <w:szCs w:val="18"/>
        <w:lang w:val="es-ES"/>
      </w:rPr>
      <w:fldChar w:fldCharType="separate"/>
    </w:r>
    <w:r>
      <w:rPr>
        <w:noProof/>
        <w:sz w:val="18"/>
        <w:szCs w:val="18"/>
        <w:lang w:val="es-ES"/>
      </w:rPr>
      <w:t>8</w:t>
    </w:r>
    <w:r>
      <w:rPr>
        <w:sz w:val="18"/>
        <w:szCs w:val="18"/>
        <w:lang w:val="es-ES"/>
      </w:rPr>
      <w:fldChar w:fldCharType="end"/>
    </w:r>
    <w:r>
      <w:rPr>
        <w:sz w:val="18"/>
        <w:szCs w:val="18"/>
        <w:lang w:val="es-ES"/>
      </w:rPr>
      <w:t xml:space="preserve">                                                                                      </w:t>
    </w:r>
    <w:r>
      <w:rPr>
        <w:sz w:val="18"/>
        <w:szCs w:val="18"/>
        <w:lang w:val="es-ES"/>
      </w:rPr>
      <w:tab/>
      <w:t xml:space="preserve">                        Comisión Económica para América Latina y el Caribe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586929"/>
      <w:docPartObj>
        <w:docPartGallery w:val="Page Numbers (Top of Page)"/>
        <w:docPartUnique/>
      </w:docPartObj>
    </w:sdtPr>
    <w:sdtContent>
      <w:p w:rsidR="003C483F" w:rsidRDefault="003C483F" w:rsidP="00481FEF">
        <w:pPr>
          <w:pStyle w:val="Header"/>
          <w:jc w:val="center"/>
        </w:pPr>
        <w:fldSimple w:instr=" PAGE   \* MERGEFORMAT ">
          <w:r w:rsidR="009C4FE3">
            <w:rPr>
              <w:noProof/>
            </w:rPr>
            <w:t>1</w:t>
          </w:r>
        </w:fldSimple>
      </w:p>
    </w:sdtContent>
  </w:sdt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7944"/>
    <w:multiLevelType w:val="hybridMultilevel"/>
    <w:tmpl w:val="F6AE353C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0287F1E"/>
    <w:multiLevelType w:val="hybridMultilevel"/>
    <w:tmpl w:val="C122AC04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2AC7E95"/>
    <w:multiLevelType w:val="hybridMultilevel"/>
    <w:tmpl w:val="AA8C380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A7A7CD3"/>
    <w:multiLevelType w:val="hybridMultilevel"/>
    <w:tmpl w:val="E9B0AF7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4">
    <w:nsid w:val="324364C7"/>
    <w:multiLevelType w:val="hybridMultilevel"/>
    <w:tmpl w:val="0A1E7D48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2B04B9C"/>
    <w:multiLevelType w:val="hybridMultilevel"/>
    <w:tmpl w:val="8B44598E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2BC6800"/>
    <w:multiLevelType w:val="hybridMultilevel"/>
    <w:tmpl w:val="4A865494"/>
    <w:lvl w:ilvl="0" w:tplc="36D26BF0">
      <w:start w:val="1"/>
      <w:numFmt w:val="lowerLetter"/>
      <w:lvlText w:val="%1)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3FF49E3"/>
    <w:multiLevelType w:val="hybridMultilevel"/>
    <w:tmpl w:val="10D40352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4C1C0AE3"/>
    <w:multiLevelType w:val="hybridMultilevel"/>
    <w:tmpl w:val="03DA0BF8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4CB211CC"/>
    <w:multiLevelType w:val="hybridMultilevel"/>
    <w:tmpl w:val="1606519A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4DD81169"/>
    <w:multiLevelType w:val="hybridMultilevel"/>
    <w:tmpl w:val="1EC246A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1">
    <w:nsid w:val="51F43AAC"/>
    <w:multiLevelType w:val="hybridMultilevel"/>
    <w:tmpl w:val="A1467026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54E34001"/>
    <w:multiLevelType w:val="hybridMultilevel"/>
    <w:tmpl w:val="52FAC3B6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3">
    <w:nsid w:val="56443D47"/>
    <w:multiLevelType w:val="hybridMultilevel"/>
    <w:tmpl w:val="234A14AA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65693B16"/>
    <w:multiLevelType w:val="hybridMultilevel"/>
    <w:tmpl w:val="133E7DFC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6ACC72EF"/>
    <w:multiLevelType w:val="hybridMultilevel"/>
    <w:tmpl w:val="09BE25F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6BF86AA7"/>
    <w:multiLevelType w:val="hybridMultilevel"/>
    <w:tmpl w:val="E7DC85E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6C2F20C5"/>
    <w:multiLevelType w:val="hybridMultilevel"/>
    <w:tmpl w:val="5EC40800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710F144E"/>
    <w:multiLevelType w:val="hybridMultilevel"/>
    <w:tmpl w:val="82C406C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75883389"/>
    <w:multiLevelType w:val="hybridMultilevel"/>
    <w:tmpl w:val="B966294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9440621"/>
    <w:multiLevelType w:val="hybridMultilevel"/>
    <w:tmpl w:val="126C3F3C"/>
    <w:lvl w:ilvl="0" w:tplc="057CD35C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1">
    <w:nsid w:val="7A3F2148"/>
    <w:multiLevelType w:val="hybridMultilevel"/>
    <w:tmpl w:val="48B6CD70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7CDA00DF"/>
    <w:multiLevelType w:val="hybridMultilevel"/>
    <w:tmpl w:val="4164F80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7D3A6577"/>
    <w:multiLevelType w:val="hybridMultilevel"/>
    <w:tmpl w:val="8E6E80E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5"/>
  </w:num>
  <w:num w:numId="3">
    <w:abstractNumId w:val="21"/>
  </w:num>
  <w:num w:numId="4">
    <w:abstractNumId w:val="0"/>
  </w:num>
  <w:num w:numId="5">
    <w:abstractNumId w:val="12"/>
  </w:num>
  <w:num w:numId="6">
    <w:abstractNumId w:val="8"/>
  </w:num>
  <w:num w:numId="7">
    <w:abstractNumId w:val="11"/>
  </w:num>
  <w:num w:numId="8">
    <w:abstractNumId w:val="10"/>
  </w:num>
  <w:num w:numId="9">
    <w:abstractNumId w:val="7"/>
  </w:num>
  <w:num w:numId="10">
    <w:abstractNumId w:val="15"/>
  </w:num>
  <w:num w:numId="11">
    <w:abstractNumId w:val="14"/>
  </w:num>
  <w:num w:numId="12">
    <w:abstractNumId w:val="18"/>
  </w:num>
  <w:num w:numId="13">
    <w:abstractNumId w:val="23"/>
  </w:num>
  <w:num w:numId="14">
    <w:abstractNumId w:val="13"/>
  </w:num>
  <w:num w:numId="15">
    <w:abstractNumId w:val="6"/>
  </w:num>
  <w:num w:numId="16">
    <w:abstractNumId w:val="1"/>
  </w:num>
  <w:num w:numId="17">
    <w:abstractNumId w:val="9"/>
  </w:num>
  <w:num w:numId="18">
    <w:abstractNumId w:val="22"/>
  </w:num>
  <w:num w:numId="19">
    <w:abstractNumId w:val="16"/>
  </w:num>
  <w:num w:numId="20">
    <w:abstractNumId w:val="17"/>
  </w:num>
  <w:num w:numId="21">
    <w:abstractNumId w:val="4"/>
  </w:num>
  <w:num w:numId="22">
    <w:abstractNumId w:val="2"/>
  </w:num>
  <w:num w:numId="23">
    <w:abstractNumId w:val="19"/>
  </w:num>
  <w:num w:numId="24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05A8"/>
    <w:rsid w:val="000113F2"/>
    <w:rsid w:val="00021472"/>
    <w:rsid w:val="00026ACB"/>
    <w:rsid w:val="00027740"/>
    <w:rsid w:val="00060F45"/>
    <w:rsid w:val="000A2B98"/>
    <w:rsid w:val="000D35BB"/>
    <w:rsid w:val="000D6A33"/>
    <w:rsid w:val="000F30AB"/>
    <w:rsid w:val="00133D56"/>
    <w:rsid w:val="001439ED"/>
    <w:rsid w:val="00155861"/>
    <w:rsid w:val="001618F5"/>
    <w:rsid w:val="00194F2B"/>
    <w:rsid w:val="001A0799"/>
    <w:rsid w:val="001D4655"/>
    <w:rsid w:val="001E2372"/>
    <w:rsid w:val="001E44CF"/>
    <w:rsid w:val="001F571E"/>
    <w:rsid w:val="00203014"/>
    <w:rsid w:val="002030ED"/>
    <w:rsid w:val="0020553B"/>
    <w:rsid w:val="0021703E"/>
    <w:rsid w:val="00217621"/>
    <w:rsid w:val="00227DEA"/>
    <w:rsid w:val="002348D0"/>
    <w:rsid w:val="00273B83"/>
    <w:rsid w:val="002878C1"/>
    <w:rsid w:val="002B18B2"/>
    <w:rsid w:val="002E7819"/>
    <w:rsid w:val="003032C8"/>
    <w:rsid w:val="00321C79"/>
    <w:rsid w:val="003453B3"/>
    <w:rsid w:val="0035511A"/>
    <w:rsid w:val="0036273A"/>
    <w:rsid w:val="00387ACE"/>
    <w:rsid w:val="003A3344"/>
    <w:rsid w:val="003A46A1"/>
    <w:rsid w:val="003A5EFC"/>
    <w:rsid w:val="003B7410"/>
    <w:rsid w:val="003C483F"/>
    <w:rsid w:val="003E2E35"/>
    <w:rsid w:val="004102CE"/>
    <w:rsid w:val="00411AA2"/>
    <w:rsid w:val="00455653"/>
    <w:rsid w:val="00455BA1"/>
    <w:rsid w:val="0046368F"/>
    <w:rsid w:val="00481FEF"/>
    <w:rsid w:val="004C59A3"/>
    <w:rsid w:val="004C6FEE"/>
    <w:rsid w:val="004D1ACB"/>
    <w:rsid w:val="004D4519"/>
    <w:rsid w:val="004E3C87"/>
    <w:rsid w:val="004F4FE1"/>
    <w:rsid w:val="005035BA"/>
    <w:rsid w:val="00512327"/>
    <w:rsid w:val="005648B2"/>
    <w:rsid w:val="00572C38"/>
    <w:rsid w:val="00572C74"/>
    <w:rsid w:val="00577647"/>
    <w:rsid w:val="005A2B09"/>
    <w:rsid w:val="005B67CE"/>
    <w:rsid w:val="005C34D0"/>
    <w:rsid w:val="005C3CDD"/>
    <w:rsid w:val="005F574B"/>
    <w:rsid w:val="0060041D"/>
    <w:rsid w:val="00644658"/>
    <w:rsid w:val="00652D92"/>
    <w:rsid w:val="006A44EB"/>
    <w:rsid w:val="006A6D7A"/>
    <w:rsid w:val="006B370F"/>
    <w:rsid w:val="006C17BC"/>
    <w:rsid w:val="006C211A"/>
    <w:rsid w:val="006F61C8"/>
    <w:rsid w:val="007128DF"/>
    <w:rsid w:val="00731ECC"/>
    <w:rsid w:val="007334F4"/>
    <w:rsid w:val="00736091"/>
    <w:rsid w:val="0075176C"/>
    <w:rsid w:val="00765CD1"/>
    <w:rsid w:val="007765E8"/>
    <w:rsid w:val="007B47A6"/>
    <w:rsid w:val="007E0A13"/>
    <w:rsid w:val="007E7C10"/>
    <w:rsid w:val="008071C0"/>
    <w:rsid w:val="00814893"/>
    <w:rsid w:val="008375F1"/>
    <w:rsid w:val="008853BB"/>
    <w:rsid w:val="00893579"/>
    <w:rsid w:val="008A4C52"/>
    <w:rsid w:val="008B4BFC"/>
    <w:rsid w:val="008C5A91"/>
    <w:rsid w:val="008F3528"/>
    <w:rsid w:val="008F6B7D"/>
    <w:rsid w:val="009221A1"/>
    <w:rsid w:val="009451B2"/>
    <w:rsid w:val="0096011E"/>
    <w:rsid w:val="009709A4"/>
    <w:rsid w:val="00994FFB"/>
    <w:rsid w:val="009B21FE"/>
    <w:rsid w:val="009C4FE3"/>
    <w:rsid w:val="00A16127"/>
    <w:rsid w:val="00A37A75"/>
    <w:rsid w:val="00A74F22"/>
    <w:rsid w:val="00A82306"/>
    <w:rsid w:val="00A90033"/>
    <w:rsid w:val="00AB1B68"/>
    <w:rsid w:val="00AB5789"/>
    <w:rsid w:val="00B36774"/>
    <w:rsid w:val="00B37333"/>
    <w:rsid w:val="00B77DFB"/>
    <w:rsid w:val="00B8034C"/>
    <w:rsid w:val="00B805A8"/>
    <w:rsid w:val="00BB427E"/>
    <w:rsid w:val="00BC4C45"/>
    <w:rsid w:val="00C128C6"/>
    <w:rsid w:val="00C21910"/>
    <w:rsid w:val="00C2256B"/>
    <w:rsid w:val="00C62689"/>
    <w:rsid w:val="00C67214"/>
    <w:rsid w:val="00C74495"/>
    <w:rsid w:val="00C76705"/>
    <w:rsid w:val="00C83C51"/>
    <w:rsid w:val="00C84A42"/>
    <w:rsid w:val="00C9155C"/>
    <w:rsid w:val="00CA2C52"/>
    <w:rsid w:val="00CD70CE"/>
    <w:rsid w:val="00CF75A6"/>
    <w:rsid w:val="00D212F8"/>
    <w:rsid w:val="00D44360"/>
    <w:rsid w:val="00D87D2C"/>
    <w:rsid w:val="00DD4BB0"/>
    <w:rsid w:val="00E12881"/>
    <w:rsid w:val="00E4359B"/>
    <w:rsid w:val="00E666CB"/>
    <w:rsid w:val="00EA3E40"/>
    <w:rsid w:val="00EF65F7"/>
    <w:rsid w:val="00F04D6B"/>
    <w:rsid w:val="00FB4982"/>
    <w:rsid w:val="00FB7D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1FEF"/>
    <w:pPr>
      <w:jc w:val="both"/>
    </w:pPr>
    <w:rPr>
      <w:szCs w:val="24"/>
      <w:lang w:val="es-ES_tradnl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81FEF"/>
    <w:pPr>
      <w:tabs>
        <w:tab w:val="center" w:pos="4419"/>
        <w:tab w:val="right" w:pos="88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81FEF"/>
    <w:rPr>
      <w:szCs w:val="24"/>
      <w:lang w:val="es-ES_tradnl" w:eastAsia="en-US"/>
    </w:rPr>
  </w:style>
  <w:style w:type="paragraph" w:styleId="Footer">
    <w:name w:val="footer"/>
    <w:basedOn w:val="Normal"/>
    <w:link w:val="FooterChar"/>
    <w:uiPriority w:val="99"/>
    <w:semiHidden/>
    <w:unhideWhenUsed/>
    <w:rsid w:val="00481FEF"/>
    <w:pPr>
      <w:tabs>
        <w:tab w:val="center" w:pos="4419"/>
        <w:tab w:val="right" w:pos="8838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81FEF"/>
    <w:rPr>
      <w:szCs w:val="24"/>
      <w:lang w:val="es-ES_tradnl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9224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4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4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4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4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27EFDB-0859-40E4-B045-13780086A3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5</Pages>
  <Words>2757</Words>
  <Characters>13731</Characters>
  <Application>Microsoft Office Word</Application>
  <DocSecurity>0</DocSecurity>
  <Lines>114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Barbados</vt:lpstr>
    </vt:vector>
  </TitlesOfParts>
  <Company>CEPAL, Naciones Unidas</Company>
  <LinksUpToDate>false</LinksUpToDate>
  <CharactersWithSpaces>16456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Barbados</dc:title>
  <dc:creator>Valeria Gonzalez</dc:creator>
  <cp:lastModifiedBy>Valeria Gonzalez</cp:lastModifiedBy>
  <cp:revision>8</cp:revision>
  <cp:lastPrinted>2012-07-01T22:32:00Z</cp:lastPrinted>
  <dcterms:created xsi:type="dcterms:W3CDTF">2012-08-27T13:40:00Z</dcterms:created>
  <dcterms:modified xsi:type="dcterms:W3CDTF">2012-08-27T20:34:00Z</dcterms:modified>
</cp:coreProperties>
</file>