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2BD91" w14:textId="4824B215" w:rsidR="00162384" w:rsidRPr="00162384" w:rsidRDefault="00162384" w:rsidP="0034754A">
      <w:pPr>
        <w:rPr>
          <w:b/>
          <w:bCs/>
          <w:sz w:val="20"/>
          <w:szCs w:val="20"/>
        </w:rPr>
      </w:pPr>
      <w:r w:rsidRPr="00162384">
        <w:rPr>
          <w:b/>
          <w:bCs/>
          <w:sz w:val="20"/>
          <w:szCs w:val="20"/>
        </w:rPr>
        <w:t xml:space="preserve">ANEXO ESTADÍSTICO </w:t>
      </w:r>
    </w:p>
    <w:p w14:paraId="159FB392" w14:textId="77777777" w:rsidR="00162384" w:rsidRPr="00162384" w:rsidRDefault="00162384" w:rsidP="0034754A">
      <w:pPr>
        <w:rPr>
          <w:b/>
          <w:bCs/>
          <w:sz w:val="20"/>
          <w:szCs w:val="20"/>
        </w:rPr>
      </w:pPr>
    </w:p>
    <w:p w14:paraId="0D2B74EB" w14:textId="5C4A1B21" w:rsidR="00162384" w:rsidRPr="00162384" w:rsidRDefault="00162384" w:rsidP="0034754A">
      <w:pPr>
        <w:rPr>
          <w:b/>
          <w:bCs/>
          <w:sz w:val="20"/>
          <w:szCs w:val="20"/>
        </w:rPr>
      </w:pPr>
      <w:r w:rsidRPr="00162384">
        <w:rPr>
          <w:b/>
          <w:bCs/>
          <w:sz w:val="20"/>
          <w:szCs w:val="20"/>
        </w:rPr>
        <w:t xml:space="preserve">El anexo estadístico correspondiente a este </w:t>
      </w:r>
      <w:r w:rsidR="002E761B">
        <w:rPr>
          <w:b/>
          <w:bCs/>
          <w:sz w:val="20"/>
          <w:szCs w:val="20"/>
        </w:rPr>
        <w:t xml:space="preserve">Balance Preliminar </w:t>
      </w:r>
      <w:r w:rsidRPr="00162384">
        <w:rPr>
          <w:b/>
          <w:bCs/>
          <w:sz w:val="20"/>
          <w:szCs w:val="20"/>
        </w:rPr>
        <w:t xml:space="preserve">de América Latina y el Caribe, 2025, puede consultarse en: </w:t>
      </w:r>
      <w:hyperlink r:id="rId4" w:history="1">
        <w:r w:rsidRPr="00162384">
          <w:rPr>
            <w:rStyle w:val="Hyperlink"/>
            <w:b/>
            <w:bCs/>
            <w:sz w:val="20"/>
            <w:szCs w:val="20"/>
          </w:rPr>
          <w:t>https://bit.ly/Balance-Preliminar-2025</w:t>
        </w:r>
      </w:hyperlink>
      <w:r w:rsidRPr="00162384">
        <w:rPr>
          <w:b/>
          <w:bCs/>
          <w:sz w:val="20"/>
          <w:szCs w:val="20"/>
        </w:rPr>
        <w:t>.</w:t>
      </w:r>
    </w:p>
    <w:p w14:paraId="55DCC383" w14:textId="3E45D4CD" w:rsidR="00162384" w:rsidRPr="00162384" w:rsidRDefault="00162384" w:rsidP="0034754A">
      <w:pPr>
        <w:rPr>
          <w:b/>
          <w:bCs/>
          <w:sz w:val="20"/>
          <w:szCs w:val="20"/>
        </w:rPr>
      </w:pPr>
      <w:r w:rsidRPr="00162384">
        <w:rPr>
          <w:b/>
          <w:bCs/>
          <w:sz w:val="20"/>
          <w:szCs w:val="20"/>
        </w:rPr>
        <w:t>El archivo Excel contiene:</w:t>
      </w:r>
    </w:p>
    <w:p w14:paraId="50BC745F" w14:textId="271A530F" w:rsidR="0034754A" w:rsidRPr="00162384" w:rsidRDefault="0034754A" w:rsidP="0034754A">
      <w:pPr>
        <w:rPr>
          <w:b/>
          <w:bCs/>
          <w:sz w:val="20"/>
          <w:szCs w:val="20"/>
        </w:rPr>
      </w:pPr>
      <w:r w:rsidRPr="00162384">
        <w:rPr>
          <w:b/>
          <w:bCs/>
          <w:sz w:val="20"/>
          <w:szCs w:val="20"/>
        </w:rPr>
        <w:tab/>
        <w:t xml:space="preserve">A.1 Resumen de indicadores  </w:t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</w:p>
    <w:p w14:paraId="0B407B54" w14:textId="3A06B7B0" w:rsidR="0034754A" w:rsidRPr="00162384" w:rsidRDefault="0034754A" w:rsidP="0034754A">
      <w:pPr>
        <w:rPr>
          <w:sz w:val="20"/>
          <w:szCs w:val="20"/>
        </w:rPr>
      </w:pPr>
      <w:r w:rsidRPr="00162384">
        <w:rPr>
          <w:sz w:val="20"/>
          <w:szCs w:val="20"/>
        </w:rPr>
        <w:t>A1.1</w:t>
      </w:r>
      <w:r w:rsidRPr="00162384">
        <w:rPr>
          <w:sz w:val="20"/>
          <w:szCs w:val="20"/>
        </w:rPr>
        <w:tab/>
        <w:t xml:space="preserve">América Latina y el Caribe: principales indicadores económicos </w:t>
      </w:r>
    </w:p>
    <w:p w14:paraId="43C7F146" w14:textId="5922AE40" w:rsidR="0034754A" w:rsidRPr="00162384" w:rsidRDefault="0034754A" w:rsidP="0034754A">
      <w:pPr>
        <w:rPr>
          <w:b/>
          <w:bCs/>
          <w:sz w:val="20"/>
          <w:szCs w:val="20"/>
        </w:rPr>
      </w:pPr>
      <w:r w:rsidRPr="00162384">
        <w:rPr>
          <w:b/>
          <w:bCs/>
          <w:sz w:val="20"/>
          <w:szCs w:val="20"/>
        </w:rPr>
        <w:tab/>
        <w:t xml:space="preserve">A.2 Desempeño interno </w:t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</w:p>
    <w:p w14:paraId="0DD7F792" w14:textId="5EAA005F" w:rsidR="0034754A" w:rsidRPr="00162384" w:rsidRDefault="0034754A" w:rsidP="00162384">
      <w:pPr>
        <w:ind w:left="630" w:hanging="630"/>
        <w:rPr>
          <w:sz w:val="20"/>
          <w:szCs w:val="20"/>
        </w:rPr>
      </w:pPr>
      <w:r w:rsidRPr="00162384">
        <w:rPr>
          <w:sz w:val="20"/>
          <w:szCs w:val="20"/>
        </w:rPr>
        <w:t>A.2.1</w:t>
      </w:r>
      <w:r w:rsidRPr="00162384">
        <w:rPr>
          <w:sz w:val="20"/>
          <w:szCs w:val="20"/>
        </w:rPr>
        <w:tab/>
        <w:t xml:space="preserve">América Latina y el Caribe: producto interno bruto total a precios constantes (En tasas anuales de variación) </w:t>
      </w:r>
    </w:p>
    <w:p w14:paraId="2FCE210F" w14:textId="1AA0A471" w:rsidR="0034754A" w:rsidRPr="00162384" w:rsidRDefault="0034754A" w:rsidP="00162384">
      <w:pPr>
        <w:ind w:left="630" w:hanging="630"/>
        <w:rPr>
          <w:sz w:val="20"/>
          <w:szCs w:val="20"/>
        </w:rPr>
      </w:pPr>
      <w:r w:rsidRPr="00162384">
        <w:rPr>
          <w:sz w:val="20"/>
          <w:szCs w:val="20"/>
        </w:rPr>
        <w:t>A.2.2</w:t>
      </w:r>
      <w:r w:rsidRPr="00162384">
        <w:rPr>
          <w:sz w:val="20"/>
          <w:szCs w:val="20"/>
        </w:rPr>
        <w:tab/>
        <w:t xml:space="preserve">América Latina y el Caribe: producto interno bruto por habitante a precios constantes (En tasas anuales de variación) </w:t>
      </w:r>
    </w:p>
    <w:p w14:paraId="03456925" w14:textId="1BB1C167" w:rsidR="0034754A" w:rsidRPr="00162384" w:rsidRDefault="0034754A" w:rsidP="00162384">
      <w:pPr>
        <w:ind w:left="630" w:hanging="630"/>
        <w:rPr>
          <w:sz w:val="20"/>
          <w:szCs w:val="20"/>
        </w:rPr>
      </w:pPr>
      <w:r w:rsidRPr="00162384">
        <w:rPr>
          <w:sz w:val="20"/>
          <w:szCs w:val="20"/>
        </w:rPr>
        <w:t>A.2.3</w:t>
      </w:r>
      <w:r w:rsidRPr="00162384">
        <w:rPr>
          <w:sz w:val="20"/>
          <w:szCs w:val="20"/>
        </w:rPr>
        <w:tab/>
        <w:t xml:space="preserve">América Latina y el Caribe: producto interno bruto total a precios constantes (En tasas interanuales de variación)  </w:t>
      </w:r>
    </w:p>
    <w:p w14:paraId="18DF692A" w14:textId="7BCF3422" w:rsidR="0034754A" w:rsidRPr="00162384" w:rsidRDefault="0034754A" w:rsidP="00162384">
      <w:pPr>
        <w:ind w:left="630" w:hanging="630"/>
        <w:rPr>
          <w:sz w:val="20"/>
          <w:szCs w:val="20"/>
        </w:rPr>
      </w:pPr>
      <w:r w:rsidRPr="00162384">
        <w:rPr>
          <w:sz w:val="20"/>
          <w:szCs w:val="20"/>
        </w:rPr>
        <w:t>A.2.4</w:t>
      </w:r>
      <w:r w:rsidRPr="00162384">
        <w:rPr>
          <w:sz w:val="20"/>
          <w:szCs w:val="20"/>
        </w:rPr>
        <w:tab/>
        <w:t xml:space="preserve">América Latina y el Caribe: formación bruta de capital fijo (En porcentajes del producto interno bruto) </w:t>
      </w:r>
    </w:p>
    <w:p w14:paraId="14948ABD" w14:textId="16634A13" w:rsidR="0034754A" w:rsidRPr="00162384" w:rsidRDefault="0034754A" w:rsidP="0034754A">
      <w:pPr>
        <w:rPr>
          <w:b/>
          <w:bCs/>
          <w:sz w:val="20"/>
          <w:szCs w:val="20"/>
        </w:rPr>
      </w:pPr>
      <w:r w:rsidRPr="00162384">
        <w:rPr>
          <w:b/>
          <w:bCs/>
          <w:sz w:val="20"/>
          <w:szCs w:val="20"/>
        </w:rPr>
        <w:tab/>
        <w:t xml:space="preserve">A.3 Sector externo  </w:t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</w:p>
    <w:p w14:paraId="4BE0AB72" w14:textId="77777777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A.3.1</w:t>
      </w:r>
      <w:r w:rsidRPr="00162384">
        <w:rPr>
          <w:sz w:val="20"/>
          <w:szCs w:val="20"/>
        </w:rPr>
        <w:tab/>
        <w:t>América Latina y el Caribe: balanza de pagos (En millones de dólares)</w:t>
      </w:r>
    </w:p>
    <w:p w14:paraId="62788B49" w14:textId="0AED479B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A.3.1.1</w:t>
      </w:r>
      <w:r w:rsidRPr="00162384">
        <w:rPr>
          <w:sz w:val="20"/>
          <w:szCs w:val="20"/>
        </w:rPr>
        <w:tab/>
        <w:t xml:space="preserve">América Latina: exportaciones de bienes, FOB (En millones de dólares) </w:t>
      </w:r>
    </w:p>
    <w:p w14:paraId="03D3287D" w14:textId="6FB36726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A.3.1.2</w:t>
      </w:r>
      <w:r w:rsidRPr="00162384">
        <w:rPr>
          <w:sz w:val="20"/>
          <w:szCs w:val="20"/>
        </w:rPr>
        <w:tab/>
        <w:t xml:space="preserve">América Latina: importaciones de bienes, FOB (En millones de dólares) </w:t>
      </w:r>
    </w:p>
    <w:p w14:paraId="5C154196" w14:textId="36EE4A44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A.3.2</w:t>
      </w:r>
      <w:r w:rsidRPr="00162384">
        <w:rPr>
          <w:sz w:val="20"/>
          <w:szCs w:val="20"/>
        </w:rPr>
        <w:tab/>
        <w:t xml:space="preserve">América Latina: índices del comercio internacional de bienes (En tasas anuales de variación)  </w:t>
      </w:r>
      <w:r w:rsidRPr="00162384">
        <w:rPr>
          <w:sz w:val="20"/>
          <w:szCs w:val="20"/>
        </w:rPr>
        <w:tab/>
      </w:r>
    </w:p>
    <w:p w14:paraId="32FFD0F2" w14:textId="217B9217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A.3.3</w:t>
      </w:r>
      <w:r w:rsidRPr="00162384">
        <w:rPr>
          <w:sz w:val="20"/>
          <w:szCs w:val="20"/>
        </w:rPr>
        <w:tab/>
        <w:t xml:space="preserve">América Latina: términos de intercambio de bienes FOB/FOB (En tasas anuales de variación)  </w:t>
      </w:r>
    </w:p>
    <w:p w14:paraId="5EC20AE3" w14:textId="73D6596D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A.3.4</w:t>
      </w:r>
      <w:r w:rsidRPr="00162384">
        <w:rPr>
          <w:sz w:val="20"/>
          <w:szCs w:val="20"/>
        </w:rPr>
        <w:tab/>
        <w:t xml:space="preserve">América Latina y el Caribe (países seleccionados): ingresos por remesas de trabajadores emigrados (En millones de dólares) </w:t>
      </w:r>
    </w:p>
    <w:p w14:paraId="0E6A3B07" w14:textId="1FD15579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A.3.5</w:t>
      </w:r>
      <w:r w:rsidRPr="00162384">
        <w:rPr>
          <w:sz w:val="20"/>
          <w:szCs w:val="20"/>
        </w:rPr>
        <w:tab/>
        <w:t xml:space="preserve">América Latina y el Caribe: flujos netos de inversión directa (En millones de dólares) </w:t>
      </w:r>
      <w:r w:rsidRPr="00162384">
        <w:rPr>
          <w:sz w:val="20"/>
          <w:szCs w:val="20"/>
        </w:rPr>
        <w:tab/>
      </w:r>
    </w:p>
    <w:p w14:paraId="3E979813" w14:textId="533F6C86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A.3.6</w:t>
      </w:r>
      <w:r w:rsidRPr="00162384">
        <w:rPr>
          <w:sz w:val="20"/>
          <w:szCs w:val="20"/>
        </w:rPr>
        <w:tab/>
        <w:t xml:space="preserve">América Latina y el Caribe: otros flujos financieros (En millones de dólares) </w:t>
      </w:r>
    </w:p>
    <w:p w14:paraId="3AAA222A" w14:textId="20069E8E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A.3.7</w:t>
      </w:r>
      <w:r w:rsidRPr="00162384">
        <w:rPr>
          <w:sz w:val="20"/>
          <w:szCs w:val="20"/>
        </w:rPr>
        <w:tab/>
        <w:t xml:space="preserve">América Latina y el Caribe: cambios activos de reserva (En millones de dólares) </w:t>
      </w:r>
    </w:p>
    <w:p w14:paraId="50293FA7" w14:textId="1CA047E3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A.3.8</w:t>
      </w:r>
      <w:r w:rsidRPr="00162384">
        <w:rPr>
          <w:sz w:val="20"/>
          <w:szCs w:val="20"/>
        </w:rPr>
        <w:tab/>
        <w:t xml:space="preserve">América Latina y el Caribe: deuda externa bruta total (En millones de dólares corrientes, saldos a fin de período) </w:t>
      </w:r>
    </w:p>
    <w:p w14:paraId="7B4A6C6E" w14:textId="7FABDCB6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A.3.9</w:t>
      </w:r>
      <w:r w:rsidRPr="00162384">
        <w:rPr>
          <w:sz w:val="20"/>
          <w:szCs w:val="20"/>
        </w:rPr>
        <w:tab/>
        <w:t xml:space="preserve">América Latina: diferencial de bonos soberanos EMBI Global (En puntos básicos) </w:t>
      </w:r>
    </w:p>
    <w:p w14:paraId="28CEEFD5" w14:textId="6453175D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A.3.10</w:t>
      </w:r>
      <w:r w:rsidRPr="00162384">
        <w:rPr>
          <w:sz w:val="20"/>
          <w:szCs w:val="20"/>
        </w:rPr>
        <w:tab/>
        <w:t xml:space="preserve">América Latina y el Caribe: emisiones internacionales de bonos (En millones de dólares)  </w:t>
      </w:r>
    </w:p>
    <w:p w14:paraId="25D3936D" w14:textId="733005A5" w:rsidR="0034754A" w:rsidRPr="00162384" w:rsidRDefault="0034754A" w:rsidP="0034754A">
      <w:pPr>
        <w:rPr>
          <w:b/>
          <w:bCs/>
          <w:sz w:val="20"/>
          <w:szCs w:val="20"/>
        </w:rPr>
      </w:pPr>
      <w:r w:rsidRPr="00162384">
        <w:rPr>
          <w:b/>
          <w:bCs/>
          <w:sz w:val="20"/>
          <w:szCs w:val="20"/>
        </w:rPr>
        <w:tab/>
        <w:t xml:space="preserve">A.4 Empleo y salarios </w:t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</w:p>
    <w:p w14:paraId="40CB764B" w14:textId="6F23C799" w:rsidR="00162384" w:rsidRPr="00162384" w:rsidRDefault="0034754A" w:rsidP="00162384">
      <w:pPr>
        <w:rPr>
          <w:sz w:val="20"/>
          <w:szCs w:val="20"/>
        </w:rPr>
      </w:pPr>
      <w:r w:rsidRPr="00162384">
        <w:rPr>
          <w:sz w:val="20"/>
          <w:szCs w:val="20"/>
        </w:rPr>
        <w:lastRenderedPageBreak/>
        <w:t>A.4.1</w:t>
      </w:r>
      <w:r w:rsidRPr="00162384">
        <w:rPr>
          <w:sz w:val="20"/>
          <w:szCs w:val="20"/>
        </w:rPr>
        <w:tab/>
        <w:t xml:space="preserve">América Latina y el Caribe: tasa de participación laboral (En tasas medias)  </w:t>
      </w:r>
    </w:p>
    <w:p w14:paraId="254EE7B8" w14:textId="4DE89833" w:rsidR="00162384" w:rsidRPr="00162384" w:rsidRDefault="0034754A" w:rsidP="00162384">
      <w:pPr>
        <w:rPr>
          <w:sz w:val="20"/>
          <w:szCs w:val="20"/>
        </w:rPr>
      </w:pPr>
      <w:r w:rsidRPr="00162384">
        <w:rPr>
          <w:sz w:val="20"/>
          <w:szCs w:val="20"/>
        </w:rPr>
        <w:t>A.4.2</w:t>
      </w:r>
      <w:r w:rsidRPr="00162384">
        <w:rPr>
          <w:sz w:val="20"/>
          <w:szCs w:val="20"/>
        </w:rPr>
        <w:tab/>
        <w:t xml:space="preserve">América Latina y el Caribe: tasa de desocupación (En tasas medias)  </w:t>
      </w:r>
    </w:p>
    <w:p w14:paraId="39125BD4" w14:textId="1308A683" w:rsidR="0034754A" w:rsidRPr="00162384" w:rsidRDefault="0034754A" w:rsidP="00162384">
      <w:pPr>
        <w:rPr>
          <w:sz w:val="20"/>
          <w:szCs w:val="20"/>
        </w:rPr>
      </w:pPr>
      <w:r w:rsidRPr="00162384">
        <w:rPr>
          <w:sz w:val="20"/>
          <w:szCs w:val="20"/>
        </w:rPr>
        <w:t>A.4.3</w:t>
      </w:r>
      <w:r w:rsidRPr="00162384">
        <w:rPr>
          <w:sz w:val="20"/>
          <w:szCs w:val="20"/>
        </w:rPr>
        <w:tab/>
        <w:t xml:space="preserve">América Latina y el Caribe: tasa de ocupación (En tasas medias)  </w:t>
      </w:r>
    </w:p>
    <w:p w14:paraId="1059B6ED" w14:textId="150F9D0D" w:rsidR="00162384" w:rsidRPr="00162384" w:rsidRDefault="0034754A" w:rsidP="00162384">
      <w:pPr>
        <w:rPr>
          <w:sz w:val="20"/>
          <w:szCs w:val="20"/>
        </w:rPr>
      </w:pPr>
      <w:r w:rsidRPr="00162384">
        <w:rPr>
          <w:sz w:val="20"/>
          <w:szCs w:val="20"/>
        </w:rPr>
        <w:t>A.4.4</w:t>
      </w:r>
      <w:r w:rsidRPr="00162384">
        <w:rPr>
          <w:sz w:val="20"/>
          <w:szCs w:val="20"/>
        </w:rPr>
        <w:tab/>
        <w:t xml:space="preserve">América Latina: salario medio real (Índice 2018=100) </w:t>
      </w:r>
    </w:p>
    <w:p w14:paraId="5653A169" w14:textId="15EC23DA" w:rsidR="0034754A" w:rsidRPr="00162384" w:rsidRDefault="0034754A" w:rsidP="00162384">
      <w:pPr>
        <w:rPr>
          <w:sz w:val="20"/>
          <w:szCs w:val="20"/>
        </w:rPr>
      </w:pPr>
      <w:r w:rsidRPr="00162384">
        <w:rPr>
          <w:sz w:val="20"/>
          <w:szCs w:val="20"/>
        </w:rPr>
        <w:t>A.4.5</w:t>
      </w:r>
      <w:r w:rsidRPr="00162384">
        <w:rPr>
          <w:sz w:val="20"/>
          <w:szCs w:val="20"/>
        </w:rPr>
        <w:tab/>
        <w:t xml:space="preserve">América Latina: salario </w:t>
      </w:r>
      <w:r w:rsidR="00162384" w:rsidRPr="00162384">
        <w:rPr>
          <w:sz w:val="20"/>
          <w:szCs w:val="20"/>
        </w:rPr>
        <w:t>mínimo</w:t>
      </w:r>
      <w:r w:rsidRPr="00162384">
        <w:rPr>
          <w:sz w:val="20"/>
          <w:szCs w:val="20"/>
        </w:rPr>
        <w:t xml:space="preserve"> real (Índices 2018=100)  </w:t>
      </w:r>
    </w:p>
    <w:p w14:paraId="61CE580F" w14:textId="6FE74587" w:rsidR="0034754A" w:rsidRPr="00162384" w:rsidRDefault="0034754A" w:rsidP="0034754A">
      <w:pPr>
        <w:rPr>
          <w:b/>
          <w:bCs/>
          <w:sz w:val="20"/>
          <w:szCs w:val="20"/>
        </w:rPr>
      </w:pPr>
      <w:r w:rsidRPr="00162384">
        <w:rPr>
          <w:b/>
          <w:bCs/>
          <w:sz w:val="20"/>
          <w:szCs w:val="20"/>
        </w:rPr>
        <w:tab/>
        <w:t xml:space="preserve">A.5 Política monetaria, cambiaria y prudencial </w:t>
      </w:r>
    </w:p>
    <w:p w14:paraId="7AD44C8E" w14:textId="0046A5E9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A.5.1</w:t>
      </w:r>
      <w:r w:rsidRPr="00162384">
        <w:rPr>
          <w:sz w:val="20"/>
          <w:szCs w:val="20"/>
        </w:rPr>
        <w:tab/>
        <w:t>América Latina y el Caribe: indicadores monetarios (En variación porcentual de los saldos medios respecto del mismo período del año anterior)</w:t>
      </w:r>
    </w:p>
    <w:p w14:paraId="3D89E151" w14:textId="687C3693" w:rsidR="00162384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A.5.2</w:t>
      </w:r>
      <w:r w:rsidRPr="00162384">
        <w:rPr>
          <w:sz w:val="20"/>
          <w:szCs w:val="20"/>
        </w:rPr>
        <w:tab/>
        <w:t>América Latina y el Caribe: tasas de referencia de política monetaria (En porcentajes)</w:t>
      </w:r>
    </w:p>
    <w:p w14:paraId="6B08FBC8" w14:textId="31ADD1D8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A.5.3</w:t>
      </w:r>
      <w:r w:rsidRPr="00162384">
        <w:rPr>
          <w:sz w:val="20"/>
          <w:szCs w:val="20"/>
        </w:rPr>
        <w:tab/>
        <w:t xml:space="preserve">América Latina y el Caribe: tasas de interés activas representativas (En tasas medias y porcentajes) </w:t>
      </w:r>
    </w:p>
    <w:p w14:paraId="4B3811C5" w14:textId="044EAA24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A.5.4</w:t>
      </w:r>
      <w:r w:rsidRPr="00162384">
        <w:rPr>
          <w:sz w:val="20"/>
          <w:szCs w:val="20"/>
        </w:rPr>
        <w:tab/>
        <w:t xml:space="preserve">América Latina y el Caribe: crédito interno real de otras sociedades de depósito al sector privado (En variación porcentual de los saldos al final del periodo respecto del mismo período del año anterior)  </w:t>
      </w:r>
    </w:p>
    <w:p w14:paraId="657DEB57" w14:textId="723C9266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A.5.5</w:t>
      </w:r>
      <w:r w:rsidRPr="00162384">
        <w:rPr>
          <w:sz w:val="20"/>
          <w:szCs w:val="20"/>
        </w:rPr>
        <w:tab/>
        <w:t xml:space="preserve">América Latina y el Caribe: Reservas Internacionales Netas Estandarizadas (En millones de dólares) </w:t>
      </w:r>
    </w:p>
    <w:p w14:paraId="2ABA5734" w14:textId="0C5D4C16" w:rsidR="00162384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A.5.6</w:t>
      </w:r>
      <w:r w:rsidRPr="00162384">
        <w:rPr>
          <w:sz w:val="20"/>
          <w:szCs w:val="20"/>
        </w:rPr>
        <w:tab/>
        <w:t>América Latina y el Caribe: tipo de cambio real efectivo (Índice 2015=100)</w:t>
      </w:r>
    </w:p>
    <w:p w14:paraId="5D425FFE" w14:textId="4BF28689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A.5.7</w:t>
      </w:r>
      <w:r w:rsidRPr="00162384">
        <w:rPr>
          <w:sz w:val="20"/>
          <w:szCs w:val="20"/>
        </w:rPr>
        <w:tab/>
        <w:t>América Latina y el Caribe: indicadores de estabilidad financiera de las instituciones de depósito (Porcentaje al final del periodo)</w:t>
      </w:r>
    </w:p>
    <w:p w14:paraId="566974FB" w14:textId="128E2B9A" w:rsidR="0034754A" w:rsidRPr="00162384" w:rsidRDefault="0034754A" w:rsidP="0034754A">
      <w:pPr>
        <w:rPr>
          <w:b/>
          <w:bCs/>
          <w:sz w:val="20"/>
          <w:szCs w:val="20"/>
        </w:rPr>
      </w:pPr>
      <w:r w:rsidRPr="00162384">
        <w:rPr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 xml:space="preserve">A.6 Política Fiscal  </w:t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</w:p>
    <w:p w14:paraId="38AE102A" w14:textId="5139BBCB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A.6.1</w:t>
      </w:r>
      <w:r w:rsidRPr="00162384">
        <w:rPr>
          <w:sz w:val="20"/>
          <w:szCs w:val="20"/>
        </w:rPr>
        <w:tab/>
        <w:t xml:space="preserve">América Latina y el Caribe: balances fiscales del gobierno central (En porcentajes del PIB) </w:t>
      </w:r>
    </w:p>
    <w:p w14:paraId="08AEEA76" w14:textId="51C6C14A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A.6.2</w:t>
      </w:r>
      <w:r w:rsidRPr="00162384">
        <w:rPr>
          <w:sz w:val="20"/>
          <w:szCs w:val="20"/>
        </w:rPr>
        <w:tab/>
        <w:t xml:space="preserve">América Latina y el Caribe: composición de los ingresos tributarios del gobierno general (En porcentajes del PIB) </w:t>
      </w:r>
    </w:p>
    <w:p w14:paraId="4A5AF121" w14:textId="77777777" w:rsidR="00162384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A.6.3</w:t>
      </w:r>
      <w:r w:rsidRPr="00162384">
        <w:rPr>
          <w:sz w:val="20"/>
          <w:szCs w:val="20"/>
        </w:rPr>
        <w:tab/>
        <w:t xml:space="preserve">América Latina y el Caribe: ingresos y gastos públicos del gobierno central (En porcentajes del PIB) </w:t>
      </w:r>
      <w:r w:rsidRPr="00162384">
        <w:rPr>
          <w:sz w:val="20"/>
          <w:szCs w:val="20"/>
        </w:rPr>
        <w:tab/>
      </w:r>
    </w:p>
    <w:p w14:paraId="763000B6" w14:textId="20146B09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A.6.4</w:t>
      </w:r>
      <w:r w:rsidRPr="00162384">
        <w:rPr>
          <w:sz w:val="20"/>
          <w:szCs w:val="20"/>
        </w:rPr>
        <w:tab/>
        <w:t xml:space="preserve">América Latina y el Caribe: deuda pública bruta del sector público no financiero (En porcentajes del PIB) </w:t>
      </w:r>
    </w:p>
    <w:p w14:paraId="29650F7E" w14:textId="2CBDD553" w:rsidR="0034754A" w:rsidRPr="00162384" w:rsidRDefault="0034754A" w:rsidP="00162384">
      <w:pPr>
        <w:ind w:left="720" w:hanging="720"/>
        <w:rPr>
          <w:sz w:val="20"/>
          <w:szCs w:val="20"/>
        </w:rPr>
      </w:pPr>
      <w:r w:rsidRPr="00162384">
        <w:rPr>
          <w:sz w:val="20"/>
          <w:szCs w:val="20"/>
        </w:rPr>
        <w:t>A.6.5</w:t>
      </w:r>
      <w:r w:rsidRPr="00162384">
        <w:rPr>
          <w:sz w:val="20"/>
          <w:szCs w:val="20"/>
        </w:rPr>
        <w:tab/>
        <w:t xml:space="preserve">América Latina y el Caribe: deuda pública bruta del gobierno central (En porcentajes del PIB) </w:t>
      </w:r>
    </w:p>
    <w:p w14:paraId="25103043" w14:textId="624197B3" w:rsidR="0034754A" w:rsidRPr="00162384" w:rsidRDefault="0034754A" w:rsidP="0034754A">
      <w:pPr>
        <w:rPr>
          <w:b/>
          <w:bCs/>
          <w:sz w:val="20"/>
          <w:szCs w:val="20"/>
        </w:rPr>
      </w:pPr>
      <w:r w:rsidRPr="00162384">
        <w:rPr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 xml:space="preserve">A.7 Precios internos </w:t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  <w:r w:rsidRPr="00162384">
        <w:rPr>
          <w:b/>
          <w:bCs/>
          <w:sz w:val="20"/>
          <w:szCs w:val="20"/>
        </w:rPr>
        <w:tab/>
      </w:r>
    </w:p>
    <w:p w14:paraId="77C8F9DA" w14:textId="65914EF0" w:rsidR="000F5112" w:rsidRPr="00162384" w:rsidRDefault="0034754A" w:rsidP="0034754A">
      <w:pPr>
        <w:rPr>
          <w:sz w:val="20"/>
          <w:szCs w:val="20"/>
        </w:rPr>
      </w:pPr>
      <w:r w:rsidRPr="00162384">
        <w:rPr>
          <w:sz w:val="20"/>
          <w:szCs w:val="20"/>
        </w:rPr>
        <w:t>A.7.1</w:t>
      </w:r>
      <w:r w:rsidRPr="00162384">
        <w:rPr>
          <w:sz w:val="20"/>
          <w:szCs w:val="20"/>
        </w:rPr>
        <w:tab/>
        <w:t xml:space="preserve">América Latina y el Caribe: precios al consumidor (Variación porcentual en 12 meses) </w:t>
      </w:r>
    </w:p>
    <w:sectPr w:rsidR="000F5112" w:rsidRPr="001623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754A"/>
    <w:rsid w:val="000B2E44"/>
    <w:rsid w:val="000F5112"/>
    <w:rsid w:val="00162384"/>
    <w:rsid w:val="001B79AB"/>
    <w:rsid w:val="002A6089"/>
    <w:rsid w:val="002E761B"/>
    <w:rsid w:val="0034754A"/>
    <w:rsid w:val="00BD1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20DDEB"/>
  <w15:chartTrackingRefBased/>
  <w15:docId w15:val="{914CA936-E1E1-4060-B943-87B2CC0FC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MX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75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75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75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75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75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75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75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75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75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75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75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75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754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754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754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754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754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754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75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75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75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75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75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754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754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754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75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754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754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6238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62384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62384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it.ly/Balance-Preliminar-202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8b77875e-5908-45a0-9cb4-dec9ae074618}" enabled="1" method="Privileged" siteId="{0f9e35db-544f-4f60-bdcc-5ea416e6dc7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602</Words>
  <Characters>3433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 Galvez</dc:creator>
  <cp:keywords/>
  <dc:description/>
  <cp:lastModifiedBy>Patricia Aravena</cp:lastModifiedBy>
  <cp:revision>2</cp:revision>
  <cp:lastPrinted>2025-12-05T17:19:00Z</cp:lastPrinted>
  <dcterms:created xsi:type="dcterms:W3CDTF">2025-12-15T12:46:00Z</dcterms:created>
  <dcterms:modified xsi:type="dcterms:W3CDTF">2025-12-15T12:46:00Z</dcterms:modified>
</cp:coreProperties>
</file>