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26A" w:rsidRPr="00EA3AF3" w:rsidRDefault="0044530D" w:rsidP="00EA3AF3">
      <w:pPr>
        <w:jc w:val="center"/>
        <w:rPr>
          <w:b/>
        </w:rPr>
      </w:pPr>
      <w:r w:rsidRPr="00EA3AF3">
        <w:rPr>
          <w:b/>
        </w:rPr>
        <w:t>BAHAMAS</w:t>
      </w:r>
    </w:p>
    <w:p w:rsidR="00AB3617" w:rsidRPr="00EA3AF3" w:rsidRDefault="00AB3617" w:rsidP="00EA3AF3">
      <w:pPr>
        <w:jc w:val="center"/>
        <w:rPr>
          <w:b/>
        </w:rPr>
      </w:pPr>
    </w:p>
    <w:p w:rsidR="0044530D" w:rsidRPr="00EA3AF3" w:rsidRDefault="0044530D" w:rsidP="00EA3AF3">
      <w:pPr>
        <w:jc w:val="center"/>
        <w:rPr>
          <w:b/>
        </w:rPr>
      </w:pPr>
    </w:p>
    <w:p w:rsidR="006C00E2" w:rsidRPr="00EA3AF3" w:rsidRDefault="00115C57" w:rsidP="00EA3AF3">
      <w:pPr>
        <w:jc w:val="center"/>
        <w:rPr>
          <w:b/>
        </w:rPr>
      </w:pPr>
      <w:r w:rsidRPr="00EA3AF3">
        <w:rPr>
          <w:b/>
        </w:rPr>
        <w:t>1. Rasgos generales de la evolución reciente</w:t>
      </w:r>
    </w:p>
    <w:p w:rsidR="000855E5" w:rsidRPr="0082127B" w:rsidRDefault="000855E5" w:rsidP="0082127B"/>
    <w:p w:rsidR="00A86FD3" w:rsidRPr="0082127B" w:rsidRDefault="001753F9" w:rsidP="0082127B">
      <w:r w:rsidRPr="0082127B">
        <w:t>En 2011 l</w:t>
      </w:r>
      <w:r w:rsidR="00212259" w:rsidRPr="0082127B">
        <w:t xml:space="preserve">a economía </w:t>
      </w:r>
      <w:r w:rsidRPr="0082127B">
        <w:t xml:space="preserve">del país </w:t>
      </w:r>
      <w:r w:rsidR="0090481D" w:rsidRPr="0082127B">
        <w:t>aceleró ligeramente</w:t>
      </w:r>
      <w:r w:rsidR="00EF291A" w:rsidRPr="0082127B">
        <w:t xml:space="preserve"> </w:t>
      </w:r>
      <w:r w:rsidRPr="0082127B">
        <w:t xml:space="preserve">su </w:t>
      </w:r>
      <w:r w:rsidR="00EF291A" w:rsidRPr="0082127B">
        <w:t>lenta</w:t>
      </w:r>
      <w:r w:rsidRPr="0082127B">
        <w:t xml:space="preserve"> recuperación</w:t>
      </w:r>
      <w:r w:rsidR="00212259" w:rsidRPr="0082127B">
        <w:t xml:space="preserve">, </w:t>
      </w:r>
      <w:r w:rsidR="0090481D" w:rsidRPr="0082127B">
        <w:t>con</w:t>
      </w:r>
      <w:r w:rsidR="00212259" w:rsidRPr="0082127B">
        <w:t xml:space="preserve"> una tasa de crecimiento que pasó del 0,2% en 2010 al 1,6% en 2011. </w:t>
      </w:r>
      <w:r w:rsidRPr="0082127B">
        <w:t>A</w:t>
      </w:r>
      <w:r w:rsidR="00212259" w:rsidRPr="0082127B">
        <w:t xml:space="preserve">l repunte de la actividad </w:t>
      </w:r>
      <w:r w:rsidRPr="0082127B">
        <w:t>contribuyó fundamentalmente</w:t>
      </w:r>
      <w:r w:rsidR="00212259" w:rsidRPr="0082127B">
        <w:t xml:space="preserve"> el sector turístico, que generó más ingresos gracias al </w:t>
      </w:r>
      <w:r w:rsidRPr="0082127B">
        <w:t xml:space="preserve">valor agregado </w:t>
      </w:r>
      <w:r w:rsidR="00212259" w:rsidRPr="0082127B">
        <w:t>de</w:t>
      </w:r>
      <w:r w:rsidR="00EF291A" w:rsidRPr="0082127B">
        <w:t>l segmento de</w:t>
      </w:r>
      <w:r w:rsidR="00212259" w:rsidRPr="0082127B">
        <w:t xml:space="preserve"> las estadías. No obstante, al contrario </w:t>
      </w:r>
      <w:r w:rsidR="00EF291A" w:rsidRPr="0082127B">
        <w:t>de</w:t>
      </w:r>
      <w:r w:rsidR="00212259" w:rsidRPr="0082127B">
        <w:t xml:space="preserve"> lo que ocurría antes de la crisis</w:t>
      </w:r>
      <w:r w:rsidR="000310E0" w:rsidRPr="0082127B">
        <w:t xml:space="preserve">, </w:t>
      </w:r>
      <w:r w:rsidR="00212259" w:rsidRPr="0082127B">
        <w:t>el déficit fiscal y la deuda plantean ahora seria</w:t>
      </w:r>
      <w:r w:rsidR="000310E0" w:rsidRPr="0082127B">
        <w:t>s</w:t>
      </w:r>
      <w:r w:rsidR="00212259" w:rsidRPr="0082127B">
        <w:t xml:space="preserve"> dificultad</w:t>
      </w:r>
      <w:r w:rsidR="000310E0" w:rsidRPr="0082127B">
        <w:t>es</w:t>
      </w:r>
      <w:r w:rsidR="00212259" w:rsidRPr="0082127B">
        <w:t xml:space="preserve">. </w:t>
      </w:r>
      <w:r w:rsidR="008D1EC3" w:rsidRPr="0082127B">
        <w:t>En consecuencia,</w:t>
      </w:r>
      <w:r w:rsidR="00212259" w:rsidRPr="0082127B">
        <w:t xml:space="preserve"> es importante </w:t>
      </w:r>
      <w:r w:rsidR="00EF291A" w:rsidRPr="0082127B">
        <w:t>apostar por una</w:t>
      </w:r>
      <w:r w:rsidR="00212259" w:rsidRPr="0082127B">
        <w:t xml:space="preserve"> combinación de políticas </w:t>
      </w:r>
      <w:r w:rsidR="00EF291A" w:rsidRPr="0082127B">
        <w:t xml:space="preserve">que </w:t>
      </w:r>
      <w:r w:rsidR="00212259" w:rsidRPr="0082127B">
        <w:t xml:space="preserve">integre un programa de consolidación </w:t>
      </w:r>
      <w:r w:rsidRPr="0082127B">
        <w:t xml:space="preserve">fiscal </w:t>
      </w:r>
      <w:r w:rsidR="00EF291A" w:rsidRPr="0082127B">
        <w:t>apoyado</w:t>
      </w:r>
      <w:r w:rsidR="00212259" w:rsidRPr="0082127B">
        <w:t xml:space="preserve"> en medidas para </w:t>
      </w:r>
      <w:r w:rsidRPr="0082127B">
        <w:t>aumentar</w:t>
      </w:r>
      <w:r w:rsidR="00212259" w:rsidRPr="0082127B">
        <w:t xml:space="preserve"> la competitividad de la industria del turismo</w:t>
      </w:r>
      <w:r w:rsidR="000310E0" w:rsidRPr="0082127B">
        <w:t xml:space="preserve">, </w:t>
      </w:r>
      <w:r w:rsidR="00A554D2">
        <w:t>para</w:t>
      </w:r>
      <w:r w:rsidR="000310E0" w:rsidRPr="0082127B">
        <w:t xml:space="preserve"> lograr un crecimiento estable</w:t>
      </w:r>
      <w:r w:rsidR="00212259" w:rsidRPr="0082127B">
        <w:t>.</w:t>
      </w:r>
    </w:p>
    <w:p w:rsidR="00A86FD3" w:rsidRPr="0082127B" w:rsidRDefault="00A86FD3" w:rsidP="0082127B"/>
    <w:p w:rsidR="007B5D00" w:rsidRPr="0082127B" w:rsidRDefault="00115C57" w:rsidP="0082127B">
      <w:r w:rsidRPr="0082127B">
        <w:tab/>
        <w:t xml:space="preserve">También es preciso que mejore la cuenta corriente de la balanza de pagos para </w:t>
      </w:r>
      <w:r w:rsidR="00A554D2">
        <w:t>tener suficientes</w:t>
      </w:r>
      <w:r w:rsidRPr="0082127B">
        <w:t xml:space="preserve"> divisas</w:t>
      </w:r>
      <w:r w:rsidR="00A554D2">
        <w:t xml:space="preserve"> para cubrir</w:t>
      </w:r>
      <w:r w:rsidRPr="0082127B">
        <w:t xml:space="preserve"> las importaciones de insumos. Sin embargo, es poco probable que esto se consiga en el mediano plazo, ya que el déficit de la cuenta corriente pasó del 10,4% del PIB en 2010 al 13,4% en 2011, tras un alza de las importaciones asociada a proyectos de construcción </w:t>
      </w:r>
      <w:r w:rsidR="0090481D" w:rsidRPr="0082127B">
        <w:t>que se financiaron</w:t>
      </w:r>
      <w:r w:rsidRPr="0082127B">
        <w:t xml:space="preserve"> </w:t>
      </w:r>
      <w:r w:rsidR="0090481D" w:rsidRPr="0082127B">
        <w:t>mediante</w:t>
      </w:r>
      <w:r w:rsidRPr="0082127B">
        <w:t xml:space="preserve"> inversión extranjera directa (</w:t>
      </w:r>
      <w:proofErr w:type="spellStart"/>
      <w:r w:rsidRPr="0082127B">
        <w:t>IED</w:t>
      </w:r>
      <w:proofErr w:type="spellEnd"/>
      <w:r w:rsidRPr="0082127B">
        <w:t xml:space="preserve">). </w:t>
      </w:r>
    </w:p>
    <w:p w:rsidR="006C00E2" w:rsidRPr="0082127B" w:rsidRDefault="006C00E2" w:rsidP="0082127B"/>
    <w:p w:rsidR="00115C57" w:rsidRPr="0082127B" w:rsidRDefault="00115C57" w:rsidP="0082127B"/>
    <w:p w:rsidR="006C00E2" w:rsidRPr="00EA3AF3" w:rsidRDefault="00115C57" w:rsidP="00EA3AF3">
      <w:pPr>
        <w:jc w:val="center"/>
        <w:rPr>
          <w:b/>
        </w:rPr>
      </w:pPr>
      <w:r w:rsidRPr="00EA3AF3">
        <w:rPr>
          <w:b/>
        </w:rPr>
        <w:t>2. La política económica</w:t>
      </w:r>
    </w:p>
    <w:p w:rsidR="006C00E2" w:rsidRPr="0082127B" w:rsidRDefault="006C00E2" w:rsidP="0082127B"/>
    <w:p w:rsidR="006C00E2" w:rsidRPr="00EA3AF3" w:rsidRDefault="00EA3AF3" w:rsidP="0082127B">
      <w:pPr>
        <w:rPr>
          <w:b/>
        </w:rPr>
      </w:pPr>
      <w:r w:rsidRPr="00EA3AF3">
        <w:rPr>
          <w:b/>
        </w:rPr>
        <w:t>a)</w:t>
      </w:r>
      <w:r w:rsidRPr="00EA3AF3">
        <w:rPr>
          <w:b/>
        </w:rPr>
        <w:tab/>
      </w:r>
      <w:r w:rsidR="00212259" w:rsidRPr="00EA3AF3">
        <w:rPr>
          <w:b/>
        </w:rPr>
        <w:t>La política fiscal</w:t>
      </w:r>
    </w:p>
    <w:p w:rsidR="008D7373" w:rsidRPr="0082127B" w:rsidRDefault="008D7373" w:rsidP="0082127B"/>
    <w:p w:rsidR="00C54995" w:rsidRPr="0082127B" w:rsidRDefault="00115C57" w:rsidP="0082127B">
      <w:r w:rsidRPr="0082127B">
        <w:tab/>
        <w:t>En el ejercicio 2010/201</w:t>
      </w:r>
      <w:r w:rsidR="00915C93" w:rsidRPr="0082127B">
        <w:t>1 (que comprende</w:t>
      </w:r>
      <w:r w:rsidRPr="0082127B">
        <w:t xml:space="preserve"> desde el 1 de julio hasta el 30 de junio) la política fiscal se orientó a fa</w:t>
      </w:r>
      <w:r w:rsidR="00915C93" w:rsidRPr="0082127B">
        <w:t>vorecer</w:t>
      </w:r>
      <w:r w:rsidRPr="0082127B">
        <w:t xml:space="preserve"> la incipiente recuperación económica, a la vez que se iniciaba un proceso de consolidación para contener la expansión de la deuda pública. Las obras de infraestructura</w:t>
      </w:r>
      <w:r w:rsidR="00A0305D" w:rsidRPr="0082127B">
        <w:t xml:space="preserve"> emprendidas por el gobierno</w:t>
      </w:r>
      <w:r w:rsidRPr="0082127B">
        <w:t xml:space="preserve"> se complementaron con un programa de capacitación</w:t>
      </w:r>
      <w:r w:rsidR="005C697A" w:rsidRPr="0082127B">
        <w:t xml:space="preserve"> </w:t>
      </w:r>
      <w:r w:rsidR="00BE21FE" w:rsidRPr="0082127B">
        <w:t>profesional</w:t>
      </w:r>
      <w:r w:rsidRPr="0082127B">
        <w:t xml:space="preserve"> para impulsar la actividad. </w:t>
      </w:r>
      <w:r w:rsidR="00915C93" w:rsidRPr="0082127B">
        <w:t>Asimismo, s</w:t>
      </w:r>
      <w:r w:rsidRPr="0082127B">
        <w:t xml:space="preserve">e </w:t>
      </w:r>
      <w:r w:rsidR="00915C93" w:rsidRPr="0082127B">
        <w:t>creó</w:t>
      </w:r>
      <w:r w:rsidRPr="0082127B">
        <w:t xml:space="preserve"> una nueva división de impuestos </w:t>
      </w:r>
      <w:r w:rsidR="00BE21FE" w:rsidRPr="0082127B">
        <w:t>con el fin de</w:t>
      </w:r>
      <w:r w:rsidRPr="0082127B">
        <w:t xml:space="preserve"> mejorar la recaudación tributaria, aunque </w:t>
      </w:r>
      <w:r w:rsidR="00915C93" w:rsidRPr="0082127B">
        <w:t>no se registraron efectos inmediatos</w:t>
      </w:r>
      <w:r w:rsidRPr="0082127B">
        <w:t xml:space="preserve">. </w:t>
      </w:r>
    </w:p>
    <w:p w:rsidR="00B740E8" w:rsidRPr="0082127B" w:rsidRDefault="00B740E8" w:rsidP="0082127B"/>
    <w:p w:rsidR="00C54995" w:rsidRPr="0082127B" w:rsidRDefault="00D54714" w:rsidP="0082127B">
      <w:r w:rsidRPr="0082127B">
        <w:tab/>
        <w:t xml:space="preserve">El déficit fiscal aumentó ligeramente, desde </w:t>
      </w:r>
      <w:r w:rsidR="00D82D3A" w:rsidRPr="0082127B">
        <w:t>el</w:t>
      </w:r>
      <w:r w:rsidRPr="0082127B">
        <w:t xml:space="preserve"> 4,4% del PIB </w:t>
      </w:r>
      <w:r w:rsidR="00D82D3A" w:rsidRPr="0082127B">
        <w:t xml:space="preserve">observado </w:t>
      </w:r>
      <w:r w:rsidRPr="0082127B">
        <w:t>en el ejercicio económico 2009/2010 hasta un 4,7% en 2</w:t>
      </w:r>
      <w:r w:rsidR="00D82D3A" w:rsidRPr="0082127B">
        <w:t>010/2011. En términos nominales</w:t>
      </w:r>
      <w:r w:rsidRPr="0082127B">
        <w:t xml:space="preserve"> el déficit superó </w:t>
      </w:r>
      <w:r w:rsidR="00A554D2">
        <w:t>por</w:t>
      </w:r>
      <w:r w:rsidRPr="0082127B">
        <w:t xml:space="preserve"> más de un 50% el objetivo </w:t>
      </w:r>
      <w:r w:rsidR="00FC2E3F" w:rsidRPr="0082127B">
        <w:t>del presupuesto</w:t>
      </w:r>
      <w:r w:rsidRPr="0082127B">
        <w:t>. Los ingresos aumentaron un 10% hasta alcanzar el 17,7%, graci</w:t>
      </w:r>
      <w:r w:rsidR="00FC2E3F" w:rsidRPr="0082127B">
        <w:t>as principalmente a la venta de un</w:t>
      </w:r>
      <w:r w:rsidRPr="0082127B">
        <w:t xml:space="preserve"> 51% de la participación </w:t>
      </w:r>
      <w:r w:rsidR="00D82D3A" w:rsidRPr="0082127B">
        <w:t xml:space="preserve">estatal </w:t>
      </w:r>
      <w:r w:rsidRPr="0082127B">
        <w:t xml:space="preserve">en Bahamas </w:t>
      </w:r>
      <w:proofErr w:type="spellStart"/>
      <w:r w:rsidRPr="0082127B">
        <w:t>Telecommunications</w:t>
      </w:r>
      <w:proofErr w:type="spellEnd"/>
      <w:r w:rsidRPr="0082127B">
        <w:t xml:space="preserve"> </w:t>
      </w:r>
      <w:proofErr w:type="spellStart"/>
      <w:r w:rsidRPr="0082127B">
        <w:t>Company</w:t>
      </w:r>
      <w:proofErr w:type="spellEnd"/>
      <w:r w:rsidRPr="0082127B">
        <w:t xml:space="preserve"> (</w:t>
      </w:r>
      <w:proofErr w:type="spellStart"/>
      <w:r w:rsidRPr="0082127B">
        <w:t>BTC</w:t>
      </w:r>
      <w:proofErr w:type="spellEnd"/>
      <w:r w:rsidRPr="0082127B">
        <w:t>). Sin embargo, este incremento de la</w:t>
      </w:r>
      <w:r w:rsidR="00D82D3A" w:rsidRPr="0082127B">
        <w:t>s entradas se vio contrarrestado</w:t>
      </w:r>
      <w:r w:rsidRPr="0082127B">
        <w:t xml:space="preserve"> por </w:t>
      </w:r>
      <w:r w:rsidR="00FC2E3F" w:rsidRPr="0082127B">
        <w:t>los</w:t>
      </w:r>
      <w:r w:rsidRPr="0082127B">
        <w:t xml:space="preserve"> gasto</w:t>
      </w:r>
      <w:r w:rsidR="00FC2E3F" w:rsidRPr="0082127B">
        <w:t>s, que alcanzaron</w:t>
      </w:r>
      <w:r w:rsidRPr="0082127B">
        <w:t xml:space="preserve"> el 22,9% del PIB. </w:t>
      </w:r>
      <w:r w:rsidR="00D82D3A" w:rsidRPr="0082127B">
        <w:t xml:space="preserve">El </w:t>
      </w:r>
      <w:r w:rsidRPr="0082127B">
        <w:t xml:space="preserve">gasto corriente </w:t>
      </w:r>
      <w:r w:rsidR="00AD3AFB" w:rsidRPr="0082127B">
        <w:t>subió</w:t>
      </w:r>
      <w:r w:rsidRPr="0082127B">
        <w:t xml:space="preserve"> </w:t>
      </w:r>
      <w:r w:rsidR="00FC2E3F" w:rsidRPr="0082127B">
        <w:t>a causa de un</w:t>
      </w:r>
      <w:r w:rsidRPr="0082127B">
        <w:t xml:space="preserve"> marcado incremento de los pagos </w:t>
      </w:r>
      <w:r w:rsidR="00FC2E3F" w:rsidRPr="0082127B">
        <w:t>por</w:t>
      </w:r>
      <w:r w:rsidRPr="0082127B">
        <w:t xml:space="preserve"> bienes y servicios, así como </w:t>
      </w:r>
      <w:r w:rsidR="00D82D3A" w:rsidRPr="0082127B">
        <w:t>de los</w:t>
      </w:r>
      <w:r w:rsidRPr="0082127B">
        <w:t xml:space="preserve"> intereses de deuda </w:t>
      </w:r>
      <w:r w:rsidR="00FC2E3F" w:rsidRPr="0082127B">
        <w:t>originados por</w:t>
      </w:r>
      <w:r w:rsidR="00C04328" w:rsidRPr="0082127B">
        <w:t xml:space="preserve"> un</w:t>
      </w:r>
      <w:r w:rsidR="00D82D3A" w:rsidRPr="0082127B">
        <w:t xml:space="preserve">a </w:t>
      </w:r>
      <w:r w:rsidR="00AD3AFB" w:rsidRPr="0082127B">
        <w:t>ampliación</w:t>
      </w:r>
      <w:r w:rsidRPr="0082127B">
        <w:t xml:space="preserve"> del crédito al gobierno. El aumento de los gastos de capital se duplicó con creces </w:t>
      </w:r>
      <w:r w:rsidR="00A554D2">
        <w:t>debido a</w:t>
      </w:r>
      <w:r w:rsidRPr="0082127B">
        <w:t xml:space="preserve"> importantes inver</w:t>
      </w:r>
      <w:r w:rsidR="00A554D2">
        <w:t>siones en infraestructura vial</w:t>
      </w:r>
      <w:r w:rsidRPr="0082127B">
        <w:t xml:space="preserve"> y </w:t>
      </w:r>
      <w:r w:rsidR="00AD3AFB" w:rsidRPr="0082127B">
        <w:t>en</w:t>
      </w:r>
      <w:r w:rsidRPr="0082127B">
        <w:t xml:space="preserve"> un proyecto de </w:t>
      </w:r>
      <w:r w:rsidR="00AD3AFB" w:rsidRPr="0082127B">
        <w:t>mejora</w:t>
      </w:r>
      <w:r w:rsidRPr="0082127B">
        <w:t xml:space="preserve"> </w:t>
      </w:r>
      <w:r w:rsidR="00C04328" w:rsidRPr="0082127B">
        <w:t>aeroportuaria</w:t>
      </w:r>
      <w:r w:rsidRPr="0082127B">
        <w:t xml:space="preserve">. </w:t>
      </w:r>
    </w:p>
    <w:p w:rsidR="007D7FAE" w:rsidRPr="0082127B" w:rsidRDefault="007D7FAE" w:rsidP="0082127B"/>
    <w:p w:rsidR="007D7FAE" w:rsidRPr="0082127B" w:rsidRDefault="00D54714" w:rsidP="0082127B">
      <w:r w:rsidRPr="0082127B">
        <w:tab/>
        <w:t xml:space="preserve">Para la primera mitad del ejercicio económico 2011/2012, el déficit global bajó del 2,7% al 0,6% del PIB. </w:t>
      </w:r>
      <w:r w:rsidR="00AD3AFB" w:rsidRPr="0082127B">
        <w:t>Esta evolución</w:t>
      </w:r>
      <w:r w:rsidRPr="0082127B">
        <w:t xml:space="preserve"> favorable se debió a una mayor recaudación de impuestos indirectos por el pago de tributos atrasados de una corporación pública. También aumentaron las entradas por tasas sobre servicios gracias a la </w:t>
      </w:r>
      <w:r w:rsidR="003F7362" w:rsidRPr="0082127B">
        <w:t>ligera</w:t>
      </w:r>
      <w:r w:rsidRPr="0082127B">
        <w:t xml:space="preserve"> recuperación del sector turístico. </w:t>
      </w:r>
      <w:r w:rsidR="00C04328" w:rsidRPr="0082127B">
        <w:t>De ese modo,</w:t>
      </w:r>
      <w:r w:rsidRPr="0082127B">
        <w:t xml:space="preserve"> los ingresos adicionales superaron el </w:t>
      </w:r>
      <w:r w:rsidR="003C7390" w:rsidRPr="0082127B">
        <w:t>incremento del</w:t>
      </w:r>
      <w:r w:rsidRPr="0082127B">
        <w:t xml:space="preserve"> gasto gubernamental. La deuda del sector público, incluidas las corporaciones estatales, aumentó un 2,3% en términos nominales, aunque </w:t>
      </w:r>
      <w:r w:rsidR="00B35CC9" w:rsidRPr="0082127B">
        <w:t>se redujo con respecto al PIB</w:t>
      </w:r>
      <w:r w:rsidRPr="0082127B">
        <w:t xml:space="preserve">, puesto que pasó de un 61,8% en 2010 a un 60,2% en 2011. </w:t>
      </w:r>
    </w:p>
    <w:p w:rsidR="00FB3470" w:rsidRPr="0082127B" w:rsidRDefault="00FB3470" w:rsidP="0082127B"/>
    <w:p w:rsidR="006C00E2" w:rsidRPr="00EA3AF3" w:rsidRDefault="00EA3AF3" w:rsidP="0082127B">
      <w:pPr>
        <w:rPr>
          <w:b/>
        </w:rPr>
      </w:pPr>
      <w:r w:rsidRPr="00EA3AF3">
        <w:rPr>
          <w:b/>
        </w:rPr>
        <w:lastRenderedPageBreak/>
        <w:t>b)</w:t>
      </w:r>
      <w:r w:rsidRPr="00EA3AF3">
        <w:rPr>
          <w:b/>
        </w:rPr>
        <w:tab/>
      </w:r>
      <w:r w:rsidR="00212259" w:rsidRPr="00EA3AF3">
        <w:rPr>
          <w:b/>
        </w:rPr>
        <w:t>Las políticas monetaria y cambiaria</w:t>
      </w:r>
    </w:p>
    <w:p w:rsidR="006C00E2" w:rsidRPr="0082127B" w:rsidRDefault="006C00E2" w:rsidP="0082127B"/>
    <w:p w:rsidR="00E35827" w:rsidRPr="0082127B" w:rsidRDefault="00D54714" w:rsidP="0082127B">
      <w:r w:rsidRPr="0082127B">
        <w:tab/>
        <w:t xml:space="preserve">En 2011, la política monetaria se orientó a estimular la recuperación de la actividad y el empleo y a </w:t>
      </w:r>
      <w:r w:rsidR="00D047BA" w:rsidRPr="0082127B">
        <w:t xml:space="preserve">preservar </w:t>
      </w:r>
      <w:r w:rsidRPr="0082127B">
        <w:t xml:space="preserve">el tipo de cambio fijo. En un esfuerzo por </w:t>
      </w:r>
      <w:r w:rsidR="00CB2441" w:rsidRPr="0082127B">
        <w:t>impulsar</w:t>
      </w:r>
      <w:r w:rsidRPr="0082127B">
        <w:t xml:space="preserve"> la demanda de crédito del sector privado para facilitar la reactivación</w:t>
      </w:r>
      <w:r w:rsidR="00C04328" w:rsidRPr="0082127B">
        <w:t xml:space="preserve"> económica</w:t>
      </w:r>
      <w:r w:rsidRPr="0082127B">
        <w:t>, el banco central relajó su política monetaria. En 2011 redujo 75</w:t>
      </w:r>
      <w:r w:rsidR="001F5698">
        <w:t> </w:t>
      </w:r>
      <w:r w:rsidRPr="0082127B">
        <w:t>punt</w:t>
      </w:r>
      <w:r w:rsidR="00C04328" w:rsidRPr="0082127B">
        <w:t>os básicos su tasa de descuento</w:t>
      </w:r>
      <w:r w:rsidRPr="0082127B">
        <w:t xml:space="preserve"> como incentivo para que los bancos comerciales </w:t>
      </w:r>
      <w:r w:rsidR="00260755" w:rsidRPr="0082127B">
        <w:t>bajaran</w:t>
      </w:r>
      <w:r w:rsidRPr="0082127B">
        <w:t xml:space="preserve"> sus tasas de interés activas. La medida fue eficaz, ya que se produjo </w:t>
      </w:r>
      <w:r w:rsidR="000A0E49" w:rsidRPr="0082127B">
        <w:t>un descenso acorde</w:t>
      </w:r>
      <w:r w:rsidR="006D0193" w:rsidRPr="0082127B">
        <w:t xml:space="preserve"> </w:t>
      </w:r>
      <w:r w:rsidRPr="0082127B">
        <w:t xml:space="preserve">de la tasa preferencial y una disminución de 70 puntos básicos </w:t>
      </w:r>
      <w:r w:rsidR="00A554D2">
        <w:t>del</w:t>
      </w:r>
      <w:r w:rsidRPr="0082127B">
        <w:t xml:space="preserve"> promedio ponderado de las tasas activas, que </w:t>
      </w:r>
      <w:r w:rsidR="00260755" w:rsidRPr="0082127B">
        <w:t>se situó en</w:t>
      </w:r>
      <w:r w:rsidRPr="0082127B">
        <w:t xml:space="preserve"> el 10,98%. No obstante, debido al exceso de liquidez del sistema bancario, el retroceso de las tasas activas se vio acompañado de una caída mayor del promedio ponderado de las tasas pasivas (de 80 puntos básicos), con lo que se amplió el diferencial de intereses. </w:t>
      </w:r>
    </w:p>
    <w:p w:rsidR="00E35827" w:rsidRPr="0082127B" w:rsidRDefault="00E35827" w:rsidP="0082127B"/>
    <w:p w:rsidR="00BC56BB" w:rsidRPr="0082127B" w:rsidRDefault="00D54714" w:rsidP="0082127B">
      <w:r w:rsidRPr="0082127B">
        <w:tab/>
        <w:t xml:space="preserve">El crédito al sector privado creció ligeramente (un 1,1%) en la medida en que los inversores recuperaban la confianza ante un moderado </w:t>
      </w:r>
      <w:r w:rsidR="00260755" w:rsidRPr="0082127B">
        <w:t>repunte</w:t>
      </w:r>
      <w:r w:rsidRPr="0082127B">
        <w:t xml:space="preserve"> de la actividad. El crédito comercial y al consumo se reanimaron tras el descenso registrado en 2010</w:t>
      </w:r>
      <w:r w:rsidR="000A0E49" w:rsidRPr="0082127B">
        <w:t>.</w:t>
      </w:r>
      <w:r w:rsidRPr="0082127B">
        <w:t xml:space="preserve"> Durante el año también se </w:t>
      </w:r>
      <w:r w:rsidR="00260755" w:rsidRPr="0082127B">
        <w:t>amplió</w:t>
      </w:r>
      <w:r w:rsidRPr="0082127B">
        <w:t xml:space="preserve"> el crédito a las actividades productivas en los sectores de espectáculos, comidas por contrato y manufacturas. Sin embargo, se frenó bruscamente la expansión de las hipotecas, principal componente de la cartera crediticia. Los bancos siguieron </w:t>
      </w:r>
      <w:r w:rsidR="00260755" w:rsidRPr="0082127B">
        <w:t>negociando</w:t>
      </w:r>
      <w:r w:rsidRPr="0082127B">
        <w:t xml:space="preserve"> con los prestatarios para mejorar la gestión de la deuda, lo que se tradujo en un </w:t>
      </w:r>
      <w:r w:rsidR="00260755" w:rsidRPr="0082127B">
        <w:t>aumento</w:t>
      </w:r>
      <w:r w:rsidRPr="0082127B">
        <w:t xml:space="preserve"> de un 16% </w:t>
      </w:r>
      <w:r w:rsidR="00260755" w:rsidRPr="0082127B">
        <w:t>del crédito</w:t>
      </w:r>
      <w:r w:rsidRPr="0082127B">
        <w:t xml:space="preserve"> para consolidaciones de deuda.</w:t>
      </w:r>
    </w:p>
    <w:p w:rsidR="00A21629" w:rsidRPr="0082127B" w:rsidRDefault="00A21629" w:rsidP="0082127B"/>
    <w:p w:rsidR="0066648A" w:rsidRPr="0082127B" w:rsidRDefault="00D54714" w:rsidP="0082127B">
      <w:r w:rsidRPr="0082127B">
        <w:tab/>
        <w:t>Aunque l</w:t>
      </w:r>
      <w:r w:rsidR="0088561F" w:rsidRPr="0082127B">
        <w:t>a</w:t>
      </w:r>
      <w:r w:rsidRPr="0082127B">
        <w:t xml:space="preserve">s </w:t>
      </w:r>
      <w:r w:rsidR="0088561F" w:rsidRPr="0082127B">
        <w:t xml:space="preserve">entidades </w:t>
      </w:r>
      <w:r w:rsidRPr="0082127B">
        <w:t>banc</w:t>
      </w:r>
      <w:r w:rsidR="0088561F" w:rsidRPr="0082127B">
        <w:t>aria</w:t>
      </w:r>
      <w:r w:rsidRPr="0082127B">
        <w:t>s mantuvieron un buen nivel de recursos propios, los préstamos improductivos aumentaron 0,9 puntos porcentuales hasta representar</w:t>
      </w:r>
      <w:r w:rsidR="00260755" w:rsidRPr="0082127B">
        <w:t xml:space="preserve"> a fines de año</w:t>
      </w:r>
      <w:r w:rsidRPr="0082127B">
        <w:t xml:space="preserve"> </w:t>
      </w:r>
      <w:r w:rsidR="00260755" w:rsidRPr="0082127B">
        <w:t>un</w:t>
      </w:r>
      <w:r w:rsidRPr="0082127B">
        <w:t xml:space="preserve"> 13% del total, </w:t>
      </w:r>
      <w:r w:rsidR="000A0E49" w:rsidRPr="0082127B">
        <w:t>una proporción</w:t>
      </w:r>
      <w:r w:rsidR="009168E7" w:rsidRPr="0082127B">
        <w:t xml:space="preserve"> que </w:t>
      </w:r>
      <w:r w:rsidR="000A0E49" w:rsidRPr="0082127B">
        <w:t>resulta preocupante</w:t>
      </w:r>
      <w:r w:rsidRPr="0082127B">
        <w:t>. La mayoría de estos</w:t>
      </w:r>
      <w:r w:rsidR="00A554D2">
        <w:t xml:space="preserve"> préstamos</w:t>
      </w:r>
      <w:r w:rsidRPr="0082127B">
        <w:t xml:space="preserve"> impagos correspo</w:t>
      </w:r>
      <w:r w:rsidR="00E51F76" w:rsidRPr="0082127B">
        <w:t>ndía</w:t>
      </w:r>
      <w:r w:rsidRPr="0082127B">
        <w:t xml:space="preserve"> a cuotas de hipotecas. En una coyuntura de sobreendeudamiento, los prestatarios siguieron teniendo dificultades para pagar sus créditos a pesar del modesto </w:t>
      </w:r>
      <w:r w:rsidR="00843BB1" w:rsidRPr="0082127B">
        <w:t>repunte</w:t>
      </w:r>
      <w:r w:rsidRPr="0082127B">
        <w:t xml:space="preserve"> de la actividad.</w:t>
      </w:r>
    </w:p>
    <w:p w:rsidR="00D46174" w:rsidRPr="0082127B" w:rsidRDefault="00D46174" w:rsidP="0082127B"/>
    <w:p w:rsidR="00D54714" w:rsidRPr="0082127B" w:rsidRDefault="00D54714" w:rsidP="0082127B"/>
    <w:p w:rsidR="006C00E2" w:rsidRPr="00EA3AF3" w:rsidRDefault="00D54714" w:rsidP="00EA3AF3">
      <w:pPr>
        <w:jc w:val="center"/>
        <w:rPr>
          <w:b/>
        </w:rPr>
      </w:pPr>
      <w:r w:rsidRPr="00EA3AF3">
        <w:rPr>
          <w:b/>
        </w:rPr>
        <w:t>3. Evolución de las principales variables</w:t>
      </w:r>
    </w:p>
    <w:p w:rsidR="006C00E2" w:rsidRPr="0082127B" w:rsidRDefault="006C00E2" w:rsidP="0082127B"/>
    <w:p w:rsidR="006C00E2" w:rsidRPr="00EA3AF3" w:rsidRDefault="00EA3AF3" w:rsidP="0082127B">
      <w:pPr>
        <w:rPr>
          <w:b/>
        </w:rPr>
      </w:pPr>
      <w:r w:rsidRPr="00EA3AF3">
        <w:rPr>
          <w:b/>
        </w:rPr>
        <w:t>a)</w:t>
      </w:r>
      <w:r w:rsidRPr="00EA3AF3">
        <w:rPr>
          <w:b/>
        </w:rPr>
        <w:tab/>
      </w:r>
      <w:r w:rsidR="00212259" w:rsidRPr="00EA3AF3">
        <w:rPr>
          <w:b/>
        </w:rPr>
        <w:t>La actividad económica</w:t>
      </w:r>
    </w:p>
    <w:p w:rsidR="00557647" w:rsidRPr="0082127B" w:rsidRDefault="00557647" w:rsidP="0082127B"/>
    <w:p w:rsidR="00A1084B" w:rsidRPr="00FE11A6" w:rsidRDefault="00D54714" w:rsidP="0082127B">
      <w:pPr>
        <w:rPr>
          <w:spacing w:val="2"/>
        </w:rPr>
      </w:pPr>
      <w:r w:rsidRPr="00FE11A6">
        <w:rPr>
          <w:spacing w:val="2"/>
        </w:rPr>
        <w:tab/>
        <w:t xml:space="preserve">La incipiente recuperación de los Estados Unidos contribuyó a la reactivación económica de las Bahamas en 2011. </w:t>
      </w:r>
      <w:r w:rsidR="00A12D2F" w:rsidRPr="00FE11A6">
        <w:rPr>
          <w:spacing w:val="2"/>
        </w:rPr>
        <w:t>El PIB real se expandió un 1,6%</w:t>
      </w:r>
      <w:r w:rsidRPr="00FE11A6">
        <w:rPr>
          <w:spacing w:val="2"/>
        </w:rPr>
        <w:t xml:space="preserve"> </w:t>
      </w:r>
      <w:r w:rsidR="00A12D2F" w:rsidRPr="00FE11A6">
        <w:rPr>
          <w:spacing w:val="2"/>
        </w:rPr>
        <w:t>—</w:t>
      </w:r>
      <w:r w:rsidRPr="00FE11A6">
        <w:rPr>
          <w:spacing w:val="2"/>
        </w:rPr>
        <w:t>tras un crecimiento del 0,2% en 2010</w:t>
      </w:r>
      <w:r w:rsidR="00A12D2F" w:rsidRPr="00FE11A6">
        <w:rPr>
          <w:spacing w:val="2"/>
        </w:rPr>
        <w:t>— gracias</w:t>
      </w:r>
      <w:r w:rsidRPr="00FE11A6">
        <w:rPr>
          <w:spacing w:val="2"/>
        </w:rPr>
        <w:t xml:space="preserve"> </w:t>
      </w:r>
      <w:r w:rsidR="00A12D2F" w:rsidRPr="00FE11A6">
        <w:rPr>
          <w:spacing w:val="2"/>
        </w:rPr>
        <w:t>a</w:t>
      </w:r>
      <w:r w:rsidRPr="00FE11A6">
        <w:rPr>
          <w:spacing w:val="2"/>
        </w:rPr>
        <w:t xml:space="preserve">l buen desempeño del turismo y la construcción. El valor agregado en el subsector hotelero y de restaurantes, </w:t>
      </w:r>
      <w:r w:rsidR="00DF5191" w:rsidRPr="00FE11A6">
        <w:rPr>
          <w:spacing w:val="2"/>
        </w:rPr>
        <w:t xml:space="preserve">utilizados </w:t>
      </w:r>
      <w:r w:rsidRPr="00FE11A6">
        <w:rPr>
          <w:spacing w:val="2"/>
        </w:rPr>
        <w:t xml:space="preserve">como indicadores de la actividad turística, se incrementó un 7,3% en 2011, en contraste con el 0,8% registrado en 2010. Las llegadas de turistas aumentaron un 6,4% en 2011; específicamente, las de pasajeros de cruceros fueron un 9,2% superiores, lo que ayudó a contrarrestar un retroceso del 1,9% en el número de </w:t>
      </w:r>
      <w:r w:rsidR="00A12D2F" w:rsidRPr="00FE11A6">
        <w:rPr>
          <w:spacing w:val="2"/>
        </w:rPr>
        <w:t>arribos</w:t>
      </w:r>
      <w:r w:rsidRPr="00FE11A6">
        <w:rPr>
          <w:spacing w:val="2"/>
        </w:rPr>
        <w:t xml:space="preserve"> para estadías de alto valor agregado. Los ingresos por reservas hoteleras crecieron un 2,8%, en </w:t>
      </w:r>
      <w:r w:rsidR="00A554D2">
        <w:rPr>
          <w:spacing w:val="2"/>
        </w:rPr>
        <w:t>línea con un incremento del 2,5</w:t>
      </w:r>
      <w:r w:rsidRPr="00FE11A6">
        <w:rPr>
          <w:spacing w:val="2"/>
        </w:rPr>
        <w:t>% del promedio de ocupación, que se situó en el 54%, y de la tarifa media diaria de las habitaciones, que alcanzó 102 dólares de los Estados Unidos.</w:t>
      </w:r>
    </w:p>
    <w:p w:rsidR="002948FC" w:rsidRPr="0082127B" w:rsidRDefault="002948FC" w:rsidP="0082127B"/>
    <w:p w:rsidR="00A1084B" w:rsidRPr="0082127B" w:rsidRDefault="00D54714" w:rsidP="0082127B">
      <w:r w:rsidRPr="0082127B">
        <w:tab/>
        <w:t xml:space="preserve">La construcción cobró impulso gracias a proyectos turísticos financiados con inversión extranjera directa, entre los que cabe destacar el del complejo </w:t>
      </w:r>
      <w:proofErr w:type="spellStart"/>
      <w:r w:rsidRPr="0082127B">
        <w:t>Baha</w:t>
      </w:r>
      <w:proofErr w:type="spellEnd"/>
      <w:r w:rsidRPr="0082127B">
        <w:t xml:space="preserve"> Mar Resort. A </w:t>
      </w:r>
      <w:r w:rsidR="00502C42" w:rsidRPr="0082127B">
        <w:t>ello</w:t>
      </w:r>
      <w:r w:rsidRPr="0082127B">
        <w:t xml:space="preserve"> se sumaron las inversiones públicas para la construcción de carreteras y la ampliación de </w:t>
      </w:r>
      <w:r w:rsidR="00614311" w:rsidRPr="0082127B">
        <w:t>infraestructura</w:t>
      </w:r>
      <w:r w:rsidRPr="0082127B">
        <w:t xml:space="preserve"> aerop</w:t>
      </w:r>
      <w:r w:rsidR="00614311" w:rsidRPr="0082127B">
        <w:t>o</w:t>
      </w:r>
      <w:r w:rsidRPr="0082127B">
        <w:t>rt</w:t>
      </w:r>
      <w:r w:rsidR="00614311" w:rsidRPr="0082127B">
        <w:t>uaria</w:t>
      </w:r>
      <w:r w:rsidRPr="0082127B">
        <w:t>. Por otra parte, se recuperó ligeramente la actividad en el sector de los servicios financieros extraterritoriales, síntoma de un mayor grado de confianza de los inversores. Este sector se ha</w:t>
      </w:r>
      <w:r w:rsidR="00DF5191" w:rsidRPr="0082127B">
        <w:t xml:space="preserve"> ido</w:t>
      </w:r>
      <w:r w:rsidRPr="0082127B">
        <w:t xml:space="preserve"> centra</w:t>
      </w:r>
      <w:r w:rsidR="00DF5191" w:rsidRPr="0082127B">
        <w:t>n</w:t>
      </w:r>
      <w:r w:rsidRPr="0082127B">
        <w:t>do progresivamente en su principal ventaja comparativa, lo que se espera que contribuya a aumentar su competitividad. Gracias en parte a la mejora de las cifras del turismo, el valor agregado del comercio al por mayor y al por menor</w:t>
      </w:r>
      <w:r w:rsidR="00DF5191" w:rsidRPr="0082127B">
        <w:t xml:space="preserve">, </w:t>
      </w:r>
      <w:r w:rsidR="00DF5191" w:rsidRPr="0082127B">
        <w:lastRenderedPageBreak/>
        <w:t>por una parte,</w:t>
      </w:r>
      <w:r w:rsidRPr="0082127B">
        <w:t xml:space="preserve"> y el del transporte</w:t>
      </w:r>
      <w:r w:rsidR="00DF5191" w:rsidRPr="0082127B">
        <w:t>, por otra,</w:t>
      </w:r>
      <w:r w:rsidRPr="0082127B">
        <w:t xml:space="preserve"> aumentaron un 9,7% y un 6,8%, respectivamente. Entre</w:t>
      </w:r>
      <w:r w:rsidR="00F14A46" w:rsidRPr="0082127B">
        <w:t xml:space="preserve"> </w:t>
      </w:r>
      <w:r w:rsidRPr="0082127B">
        <w:t xml:space="preserve">tanto, la actividad inmobiliaria retrocedió un 4,1%, debido </w:t>
      </w:r>
      <w:r w:rsidR="00DF5191" w:rsidRPr="0082127B">
        <w:t xml:space="preserve">a la </w:t>
      </w:r>
      <w:r w:rsidR="00361AAD" w:rsidRPr="0082127B">
        <w:t>caída</w:t>
      </w:r>
      <w:r w:rsidR="00DF5191" w:rsidRPr="0082127B">
        <w:t xml:space="preserve"> </w:t>
      </w:r>
      <w:r w:rsidRPr="0082127B">
        <w:t>del mercado.</w:t>
      </w:r>
    </w:p>
    <w:p w:rsidR="00961929" w:rsidRPr="0082127B" w:rsidRDefault="00961929" w:rsidP="0082127B"/>
    <w:p w:rsidR="006C00E2" w:rsidRPr="00EA3AF3" w:rsidRDefault="00EA3AF3" w:rsidP="0082127B">
      <w:pPr>
        <w:rPr>
          <w:b/>
        </w:rPr>
      </w:pPr>
      <w:r w:rsidRPr="00EA3AF3">
        <w:rPr>
          <w:b/>
        </w:rPr>
        <w:t>b)</w:t>
      </w:r>
      <w:r w:rsidRPr="00EA3AF3">
        <w:rPr>
          <w:b/>
        </w:rPr>
        <w:tab/>
      </w:r>
      <w:r w:rsidR="00212259" w:rsidRPr="00EA3AF3">
        <w:rPr>
          <w:b/>
        </w:rPr>
        <w:t>Precios, salarios y empleo</w:t>
      </w:r>
    </w:p>
    <w:p w:rsidR="00FE66DD" w:rsidRPr="0082127B" w:rsidRDefault="00FE66DD" w:rsidP="0082127B"/>
    <w:p w:rsidR="00665358" w:rsidRPr="00FE11A6" w:rsidRDefault="00D54714" w:rsidP="0082127B">
      <w:pPr>
        <w:rPr>
          <w:spacing w:val="2"/>
        </w:rPr>
      </w:pPr>
      <w:r w:rsidRPr="00FE11A6">
        <w:rPr>
          <w:spacing w:val="2"/>
        </w:rPr>
        <w:tab/>
        <w:t xml:space="preserve">El alza de los precios internacionales de los combustibles y los alimentos y la presión de la demanda interna provocaron que la inflación aumentara del 1,4% en diciembre </w:t>
      </w:r>
      <w:r w:rsidR="0053274E">
        <w:rPr>
          <w:spacing w:val="2"/>
        </w:rPr>
        <w:t xml:space="preserve">de </w:t>
      </w:r>
      <w:r w:rsidRPr="00FE11A6">
        <w:rPr>
          <w:spacing w:val="2"/>
        </w:rPr>
        <w:t xml:space="preserve">2010 al 3,2% en diciembre de 2011. La gasolina y el </w:t>
      </w:r>
      <w:proofErr w:type="spellStart"/>
      <w:r w:rsidRPr="00FE11A6">
        <w:rPr>
          <w:spacing w:val="2"/>
        </w:rPr>
        <w:t>diésel</w:t>
      </w:r>
      <w:proofErr w:type="spellEnd"/>
      <w:r w:rsidRPr="00FE11A6">
        <w:rPr>
          <w:spacing w:val="2"/>
        </w:rPr>
        <w:t xml:space="preserve"> se encarecieron un 17,2% y un 33,2%, respectivamente. </w:t>
      </w:r>
      <w:r w:rsidR="00DB29A9" w:rsidRPr="00FE11A6">
        <w:rPr>
          <w:spacing w:val="2"/>
        </w:rPr>
        <w:t>Por otro lado</w:t>
      </w:r>
      <w:r w:rsidRPr="00FE11A6">
        <w:rPr>
          <w:spacing w:val="2"/>
        </w:rPr>
        <w:t>, los precios de los alimentos y las bebidas subieron un 3,1% tras haber bajado un 0,8% en 2010. Los costos de transporte se incrementaron marcadamente</w:t>
      </w:r>
      <w:r w:rsidR="00DB29A9" w:rsidRPr="00FE11A6">
        <w:rPr>
          <w:spacing w:val="2"/>
        </w:rPr>
        <w:t>,</w:t>
      </w:r>
      <w:r w:rsidRPr="00FE11A6">
        <w:rPr>
          <w:spacing w:val="2"/>
        </w:rPr>
        <w:t xml:space="preserve"> de</w:t>
      </w:r>
      <w:r w:rsidR="00DB29A9" w:rsidRPr="00FE11A6">
        <w:rPr>
          <w:spacing w:val="2"/>
        </w:rPr>
        <w:t>sde un</w:t>
      </w:r>
      <w:r w:rsidRPr="00FE11A6">
        <w:rPr>
          <w:spacing w:val="2"/>
        </w:rPr>
        <w:t xml:space="preserve"> 3,1% en 2010 </w:t>
      </w:r>
      <w:r w:rsidR="00DB29A9" w:rsidRPr="00FE11A6">
        <w:rPr>
          <w:spacing w:val="2"/>
        </w:rPr>
        <w:t>hasta un</w:t>
      </w:r>
      <w:r w:rsidRPr="00FE11A6">
        <w:rPr>
          <w:spacing w:val="2"/>
        </w:rPr>
        <w:t xml:space="preserve"> 7,9% en 2011. </w:t>
      </w:r>
      <w:r w:rsidR="00F14A46" w:rsidRPr="00FE11A6">
        <w:rPr>
          <w:spacing w:val="2"/>
        </w:rPr>
        <w:t>L</w:t>
      </w:r>
      <w:r w:rsidRPr="00FE11A6">
        <w:rPr>
          <w:spacing w:val="2"/>
        </w:rPr>
        <w:t>a recuperación del turismo</w:t>
      </w:r>
      <w:r w:rsidR="00F14A46" w:rsidRPr="00FE11A6">
        <w:rPr>
          <w:spacing w:val="2"/>
        </w:rPr>
        <w:t>, por su parte,</w:t>
      </w:r>
      <w:r w:rsidRPr="00FE11A6">
        <w:rPr>
          <w:spacing w:val="2"/>
        </w:rPr>
        <w:t xml:space="preserve"> se </w:t>
      </w:r>
      <w:r w:rsidR="00F14A46" w:rsidRPr="00FE11A6">
        <w:rPr>
          <w:spacing w:val="2"/>
        </w:rPr>
        <w:t>tradujo</w:t>
      </w:r>
      <w:r w:rsidRPr="00FE11A6">
        <w:rPr>
          <w:spacing w:val="2"/>
        </w:rPr>
        <w:t xml:space="preserve"> en un alza de precios del 3,9% en hoteles y restaurantes.</w:t>
      </w:r>
    </w:p>
    <w:p w:rsidR="00371EE8" w:rsidRPr="0082127B" w:rsidRDefault="00371EE8" w:rsidP="0082127B"/>
    <w:p w:rsidR="00665358" w:rsidRPr="0082127B" w:rsidRDefault="00D54714" w:rsidP="0082127B">
      <w:r w:rsidRPr="0082127B">
        <w:tab/>
        <w:t xml:space="preserve">El crecimiento del empleo no </w:t>
      </w:r>
      <w:r w:rsidR="008D04A9" w:rsidRPr="0082127B">
        <w:t>estuvo a la altura</w:t>
      </w:r>
      <w:r w:rsidRPr="0082127B">
        <w:t xml:space="preserve"> </w:t>
      </w:r>
      <w:r w:rsidR="008D04A9" w:rsidRPr="0082127B">
        <w:t>del</w:t>
      </w:r>
      <w:r w:rsidRPr="0082127B">
        <w:t xml:space="preserve"> dinamismo económico y la tasa de desempleo aumentó del 13,7% en mayo al 15,9% en noviembre de 2011. Ese empeoramiento se debió a un </w:t>
      </w:r>
      <w:r w:rsidR="001D60EC" w:rsidRPr="0082127B">
        <w:t>incremento</w:t>
      </w:r>
      <w:r w:rsidRPr="0082127B">
        <w:t xml:space="preserve"> del número de cesantes entre los trabajadores por cuenta propia y los del sector informal, así como a la entrada en el grupo de población activa de bachilleres y graduados universitarios. Se espera que los sueldos suban una vez suspendida la congelación salarial impuest</w:t>
      </w:r>
      <w:r w:rsidR="001F5698">
        <w:t>a en el sector público en 2010.</w:t>
      </w:r>
    </w:p>
    <w:p w:rsidR="00BD34B5" w:rsidRPr="0082127B" w:rsidRDefault="00BD34B5" w:rsidP="0082127B"/>
    <w:p w:rsidR="006C00E2" w:rsidRPr="00EA3AF3" w:rsidRDefault="00EA3AF3" w:rsidP="0082127B">
      <w:pPr>
        <w:rPr>
          <w:b/>
        </w:rPr>
      </w:pPr>
      <w:r w:rsidRPr="00EA3AF3">
        <w:rPr>
          <w:b/>
        </w:rPr>
        <w:t>c)</w:t>
      </w:r>
      <w:r w:rsidRPr="00EA3AF3">
        <w:rPr>
          <w:b/>
        </w:rPr>
        <w:tab/>
      </w:r>
      <w:r w:rsidR="00212259" w:rsidRPr="00EA3AF3">
        <w:rPr>
          <w:b/>
        </w:rPr>
        <w:t>El sector exter</w:t>
      </w:r>
      <w:r w:rsidR="0053274E">
        <w:rPr>
          <w:b/>
        </w:rPr>
        <w:t>no</w:t>
      </w:r>
    </w:p>
    <w:p w:rsidR="006C00E2" w:rsidRPr="0082127B" w:rsidRDefault="006C00E2" w:rsidP="0082127B"/>
    <w:p w:rsidR="002577A4" w:rsidRPr="0082127B" w:rsidRDefault="00D54714" w:rsidP="0082127B">
      <w:r w:rsidRPr="0082127B">
        <w:tab/>
        <w:t xml:space="preserve">El déficit de la cuenta corriente de la balanza de pagos se amplió del 10,4% del PIB en 2010 al 13,4% en 2011. Esta evolución negativa refleja un incremento de las importaciones, especialmente de insumos para la construcción en el sector turístico, tras el retroceso de importaciones que se había registrado en 2010. Así, el déficit comercial de bienes aumentó un 8,1%, </w:t>
      </w:r>
      <w:r w:rsidR="00DB29A9" w:rsidRPr="0082127B">
        <w:t>mientras</w:t>
      </w:r>
      <w:r w:rsidRPr="0082127B">
        <w:t xml:space="preserve"> que la cuenta de servicios se mantuvo relativamente estable, dado que los pagos de seguros y otros servicios contrarrestaron el increm</w:t>
      </w:r>
      <w:r w:rsidR="00620BAE" w:rsidRPr="0082127B">
        <w:t>ento de los ingresos por viajes</w:t>
      </w:r>
      <w:r w:rsidRPr="0082127B">
        <w:t xml:space="preserve"> </w:t>
      </w:r>
      <w:r w:rsidR="00620BAE" w:rsidRPr="0082127B">
        <w:t>(</w:t>
      </w:r>
      <w:r w:rsidRPr="0082127B">
        <w:t>de un 4,6%</w:t>
      </w:r>
      <w:r w:rsidR="00620BAE" w:rsidRPr="0082127B">
        <w:t>)</w:t>
      </w:r>
      <w:r w:rsidRPr="0082127B">
        <w:t xml:space="preserve"> impulsado por </w:t>
      </w:r>
      <w:r w:rsidR="00DB29A9" w:rsidRPr="0082127B">
        <w:t>la progresión</w:t>
      </w:r>
      <w:r w:rsidRPr="0082127B">
        <w:t xml:space="preserve"> del turismo. El déficit de la cuenta de renta empeoró ligeramente, ya que el aumento de las salidas de remesas de fondos de trabajadores superó el descenso de las salidas de ingresos devengados por inversiones. Las salidas netas por transferencias corrientes se incrementaron considerablemente debido a un </w:t>
      </w:r>
      <w:r w:rsidR="006348F9" w:rsidRPr="0082127B">
        <w:t>incremento</w:t>
      </w:r>
      <w:r w:rsidRPr="0082127B">
        <w:t xml:space="preserve"> de los pagos de remesas de trabajadores y de las transferencias gubernamentales.</w:t>
      </w:r>
    </w:p>
    <w:p w:rsidR="002577A4" w:rsidRPr="0082127B" w:rsidRDefault="002577A4" w:rsidP="0082127B"/>
    <w:p w:rsidR="00DE09F0" w:rsidRPr="0082127B" w:rsidRDefault="00D54714" w:rsidP="0082127B">
      <w:r w:rsidRPr="0082127B">
        <w:tab/>
        <w:t>El superávit de la cuenta de capital y financiera disminuyó un 16,5% hasta situarse en 953,2</w:t>
      </w:r>
      <w:r w:rsidR="001F5698">
        <w:t> </w:t>
      </w:r>
      <w:r w:rsidRPr="0082127B">
        <w:t xml:space="preserve">millones de dólares de los Estados Unidos, después de una contracción de un 23,6% de los flujos de inversión extranjera directa. </w:t>
      </w:r>
      <w:r w:rsidR="00DB29A9" w:rsidRPr="0082127B">
        <w:t xml:space="preserve">La entrada de </w:t>
      </w:r>
      <w:proofErr w:type="spellStart"/>
      <w:r w:rsidR="00DB29A9" w:rsidRPr="0082127B">
        <w:t>IED</w:t>
      </w:r>
      <w:proofErr w:type="spellEnd"/>
      <w:r w:rsidR="00DB29A9" w:rsidRPr="0082127B">
        <w:t xml:space="preserve"> </w:t>
      </w:r>
      <w:r w:rsidR="00A06A92" w:rsidRPr="0082127B">
        <w:t>volvió a la</w:t>
      </w:r>
      <w:r w:rsidRPr="0082127B">
        <w:t xml:space="preserve"> tendencia de la que se había desviado puntualmente </w:t>
      </w:r>
      <w:r w:rsidR="00DB29A9" w:rsidRPr="0082127B">
        <w:t>por</w:t>
      </w:r>
      <w:r w:rsidRPr="0082127B">
        <w:t xml:space="preserve"> una operación de un banco extranjero para capitalizar con 200 millones de dólares una de sus filiales en el país. Así, el aumento de las entradas para la construcción de hoteles no pudo compensar en 2011 la drástica caída de </w:t>
      </w:r>
      <w:r w:rsidR="00DB29A9" w:rsidRPr="0082127B">
        <w:t>ingresos</w:t>
      </w:r>
      <w:r w:rsidRPr="0082127B">
        <w:t xml:space="preserve"> </w:t>
      </w:r>
      <w:r w:rsidR="004145E9" w:rsidRPr="0082127B">
        <w:t>para la adquisición de</w:t>
      </w:r>
      <w:r w:rsidRPr="0082127B">
        <w:t xml:space="preserve"> acciones y participaciones bancarias. No obstante, se produjo un incremento sustancial del financiamiento con préstamos para proyectos que impulsó </w:t>
      </w:r>
      <w:r w:rsidR="00DB29A9" w:rsidRPr="0082127B">
        <w:t>otras</w:t>
      </w:r>
      <w:r w:rsidRPr="0082127B">
        <w:t xml:space="preserve"> entradas de inversión privada, lo que </w:t>
      </w:r>
      <w:r w:rsidR="004145E9" w:rsidRPr="0082127B">
        <w:t>se tradujo en</w:t>
      </w:r>
      <w:r w:rsidRPr="0082127B">
        <w:t xml:space="preserve"> un aumento de 12,8</w:t>
      </w:r>
      <w:r w:rsidR="001F5698">
        <w:t> </w:t>
      </w:r>
      <w:r w:rsidRPr="0082127B">
        <w:t>millones de dólares de los Estados Unidos en concepto d</w:t>
      </w:r>
      <w:r w:rsidR="004145E9" w:rsidRPr="0082127B">
        <w:t>e inversiones extranjeras netas</w:t>
      </w:r>
      <w:r w:rsidRPr="0082127B">
        <w:t xml:space="preserve"> </w:t>
      </w:r>
      <w:r w:rsidR="004145E9" w:rsidRPr="0082127B">
        <w:t>(</w:t>
      </w:r>
      <w:r w:rsidRPr="0082127B">
        <w:t>inclu</w:t>
      </w:r>
      <w:r w:rsidR="004145E9" w:rsidRPr="0082127B">
        <w:t>ido</w:t>
      </w:r>
      <w:r w:rsidRPr="0082127B">
        <w:t xml:space="preserve"> tanto el financiamiento con préstamos como mediante valores</w:t>
      </w:r>
      <w:r w:rsidR="004145E9" w:rsidRPr="0082127B">
        <w:t>)</w:t>
      </w:r>
      <w:r w:rsidRPr="0082127B">
        <w:t xml:space="preserve">. Las reservas internacionales aumentaron un 2,8% hasta alcanzar 884,85 millones de dólares, el equivalente a 3,5 meses de importaciones. </w:t>
      </w:r>
    </w:p>
    <w:p w:rsidR="0053378D" w:rsidRPr="0082127B" w:rsidRDefault="0053378D" w:rsidP="0082127B"/>
    <w:p w:rsidR="0053378D" w:rsidRPr="0082127B" w:rsidRDefault="0053378D" w:rsidP="0082127B"/>
    <w:p w:rsidR="0053378D" w:rsidRPr="00EA3AF3" w:rsidRDefault="0053378D" w:rsidP="00EA3AF3">
      <w:pPr>
        <w:jc w:val="center"/>
        <w:rPr>
          <w:b/>
        </w:rPr>
      </w:pPr>
      <w:r w:rsidRPr="00EA3AF3">
        <w:rPr>
          <w:b/>
        </w:rPr>
        <w:t>4. Rasgos generales de la evolución reciente (primer trimestre de 2012)</w:t>
      </w:r>
    </w:p>
    <w:p w:rsidR="0053378D" w:rsidRPr="0082127B" w:rsidRDefault="0053378D" w:rsidP="0082127B"/>
    <w:p w:rsidR="0053378D" w:rsidRPr="0082127B" w:rsidRDefault="0053378D" w:rsidP="0082127B">
      <w:r w:rsidRPr="0082127B">
        <w:t xml:space="preserve">La incipiente reactivación económica de las Bahamas continuó en el primer trimestre de 2012 gracias al </w:t>
      </w:r>
      <w:r w:rsidR="004145E9" w:rsidRPr="0082127B">
        <w:t>buen comportamiento</w:t>
      </w:r>
      <w:r w:rsidRPr="0082127B">
        <w:t xml:space="preserve"> del turismo y la construcción. Aumentó el número de visitantes por vía aérea y </w:t>
      </w:r>
      <w:r w:rsidRPr="0082127B">
        <w:lastRenderedPageBreak/>
        <w:t xml:space="preserve">marítima, a lo que contribuyó la modesta recuperación de los Estados Unidos. La inflación mantuvo una tendencia al alza por influencia de los precios internacionales de los combustibles, mientras que el déficit fiscal se amplió, debido en parte a los gastos electorales. Se espera que la economía siga creciendo en 2012 a una tasa algo superior, en torno al 2,8%, sobre la base de </w:t>
      </w:r>
      <w:r w:rsidR="004145E9" w:rsidRPr="0082127B">
        <w:t>un despegue</w:t>
      </w:r>
      <w:r w:rsidRPr="0082127B">
        <w:t xml:space="preserve"> del turismo, la inversión extranjera directa (</w:t>
      </w:r>
      <w:proofErr w:type="spellStart"/>
      <w:r w:rsidRPr="0082127B">
        <w:t>IED</w:t>
      </w:r>
      <w:proofErr w:type="spellEnd"/>
      <w:r w:rsidRPr="0082127B">
        <w:t xml:space="preserve">) para la construcción </w:t>
      </w:r>
      <w:r w:rsidR="004145E9" w:rsidRPr="0082127B">
        <w:t>hotelera</w:t>
      </w:r>
      <w:r w:rsidRPr="0082127B">
        <w:t xml:space="preserve"> y las obras públicas de infraestructura.</w:t>
      </w:r>
    </w:p>
    <w:p w:rsidR="0053378D" w:rsidRPr="0082127B" w:rsidRDefault="0053378D" w:rsidP="0082127B"/>
    <w:p w:rsidR="0053378D" w:rsidRPr="0082127B" w:rsidRDefault="0053378D" w:rsidP="0082127B">
      <w:r w:rsidRPr="0082127B">
        <w:tab/>
        <w:t>Las elecciones generales del 7 de mayo dieron paso a un cambio de gobierno, ya que el Partido Liberal Progresista (</w:t>
      </w:r>
      <w:proofErr w:type="spellStart"/>
      <w:r w:rsidRPr="0082127B">
        <w:t>PLP</w:t>
      </w:r>
      <w:proofErr w:type="spellEnd"/>
      <w:r w:rsidRPr="0082127B">
        <w:t>) se impuso al Movimiento Nacional Libre (</w:t>
      </w:r>
      <w:proofErr w:type="spellStart"/>
      <w:r w:rsidRPr="0082127B">
        <w:t>FNM</w:t>
      </w:r>
      <w:proofErr w:type="spellEnd"/>
      <w:r w:rsidRPr="0082127B">
        <w:t xml:space="preserve">). Sin embargo, no se esperan grandes cambios en política, ya que las previsiones apuntan a que el nuevo gobierno se centre en la consolidación fiscal y en la reactivación del crecimiento económico y del empleo, </w:t>
      </w:r>
      <w:r w:rsidR="004145E9" w:rsidRPr="0082127B">
        <w:t>sin renunciar a</w:t>
      </w:r>
      <w:r w:rsidRPr="0082127B">
        <w:t xml:space="preserve"> los principales programas sociales.</w:t>
      </w:r>
    </w:p>
    <w:p w:rsidR="0053378D" w:rsidRPr="0082127B" w:rsidRDefault="0053378D" w:rsidP="0082127B"/>
    <w:p w:rsidR="0053378D" w:rsidRPr="0082127B" w:rsidRDefault="0053378D" w:rsidP="0082127B">
      <w:r w:rsidRPr="0082127B">
        <w:tab/>
        <w:t xml:space="preserve">Durante el primer trimestre de 2012 no se materializó ningún plan para contener el déficit público, que entre diciembre de 2011 y febrero de 2012 alcanzó el 2,7% del PIB, lo que contrasta con el superávit del 1,4% del PIB observado en el mismo período del ejercicio 2010/2011. Este retroceso se debió a préstamos a corporaciones públicas, </w:t>
      </w:r>
      <w:r w:rsidR="004145E9" w:rsidRPr="0082127B">
        <w:t xml:space="preserve">a </w:t>
      </w:r>
      <w:r w:rsidRPr="0082127B">
        <w:t xml:space="preserve">un mayor gasto en infraestructura y </w:t>
      </w:r>
      <w:r w:rsidR="004145E9" w:rsidRPr="0082127B">
        <w:t xml:space="preserve">a </w:t>
      </w:r>
      <w:r w:rsidRPr="0082127B">
        <w:t>un programa de creación de empleo</w:t>
      </w:r>
      <w:r w:rsidR="004145E9" w:rsidRPr="0082127B">
        <w:t>, desembolsos que en conjunto</w:t>
      </w:r>
      <w:r w:rsidRPr="0082127B">
        <w:t xml:space="preserve"> superaron el </w:t>
      </w:r>
      <w:r w:rsidR="004145E9" w:rsidRPr="0082127B">
        <w:t>ligero incremento de los ingresos. L</w:t>
      </w:r>
      <w:r w:rsidRPr="0082127B">
        <w:t>a deuda del sector público creció entre diciembre de 2011 y marzo de 2012 un 1,3%, situándose en 3.860</w:t>
      </w:r>
      <w:r w:rsidR="001F5698">
        <w:t> </w:t>
      </w:r>
      <w:r w:rsidRPr="0082127B">
        <w:t>millones de dólares de las Bahamas.</w:t>
      </w:r>
    </w:p>
    <w:p w:rsidR="0053378D" w:rsidRPr="0082127B" w:rsidRDefault="0053378D" w:rsidP="0082127B"/>
    <w:p w:rsidR="0053378D" w:rsidRPr="0082127B" w:rsidRDefault="0053378D" w:rsidP="0082127B">
      <w:r w:rsidRPr="0082127B">
        <w:tab/>
        <w:t xml:space="preserve">Las condiciones monetarias </w:t>
      </w:r>
      <w:r w:rsidR="004145E9" w:rsidRPr="0082127B">
        <w:t>durante</w:t>
      </w:r>
      <w:r w:rsidRPr="0082127B">
        <w:t xml:space="preserve"> el primer trimestre de 2012 siguieron marcadas por el descenso del crédito al sector privado en un clima de escasa confianza empresarial. </w:t>
      </w:r>
      <w:r w:rsidR="004145E9" w:rsidRPr="0082127B">
        <w:t>En cambio</w:t>
      </w:r>
      <w:r w:rsidRPr="0082127B">
        <w:t>, el crédito al sector público se expandió 65,9 millones de dólares de las Bahamas, tras haberse reducido en 2011. La calidad de los créditos de los bancos mejoró por</w:t>
      </w:r>
      <w:r w:rsidR="004145E9" w:rsidRPr="0082127B">
        <w:t xml:space="preserve"> las</w:t>
      </w:r>
      <w:r w:rsidRPr="0082127B">
        <w:t xml:space="preserve"> amortizaciones de préstamos y </w:t>
      </w:r>
      <w:r w:rsidR="004145E9" w:rsidRPr="0082127B">
        <w:t xml:space="preserve">las </w:t>
      </w:r>
      <w:r w:rsidRPr="0082127B">
        <w:t>consolidaciones de deuda</w:t>
      </w:r>
      <w:r w:rsidR="004145E9" w:rsidRPr="0082127B">
        <w:t xml:space="preserve"> que se llevaron a cabo</w:t>
      </w:r>
      <w:r w:rsidRPr="0082127B">
        <w:t>. Sin embargo, la proporción de préstamos improductivos aumentó ligeramente</w:t>
      </w:r>
      <w:r w:rsidR="004145E9" w:rsidRPr="0082127B">
        <w:t>,</w:t>
      </w:r>
      <w:r w:rsidRPr="0082127B">
        <w:t xml:space="preserve"> hasta</w:t>
      </w:r>
      <w:r w:rsidR="004145E9" w:rsidRPr="0082127B">
        <w:t xml:space="preserve"> representar</w:t>
      </w:r>
      <w:r w:rsidRPr="0082127B">
        <w:t xml:space="preserve"> un 13,1% del total. </w:t>
      </w:r>
    </w:p>
    <w:p w:rsidR="0053378D" w:rsidRPr="0082127B" w:rsidRDefault="0053378D" w:rsidP="0082127B"/>
    <w:p w:rsidR="0053378D" w:rsidRPr="0082127B" w:rsidRDefault="0053378D" w:rsidP="0082127B">
      <w:r w:rsidRPr="0082127B">
        <w:tab/>
        <w:t xml:space="preserve">El crecimiento económico observado en el último trimestre de 2011 se mantuvo en 2012. La actividad turística </w:t>
      </w:r>
      <w:r w:rsidR="000A27EC" w:rsidRPr="0082127B">
        <w:t>se fortaleció</w:t>
      </w:r>
      <w:r w:rsidRPr="0082127B">
        <w:t xml:space="preserve">, </w:t>
      </w:r>
      <w:r w:rsidR="000A27EC" w:rsidRPr="0082127B">
        <w:t>gracias en parte a</w:t>
      </w:r>
      <w:r w:rsidRPr="0082127B">
        <w:t xml:space="preserve"> un </w:t>
      </w:r>
      <w:r w:rsidR="00037D95" w:rsidRPr="0082127B">
        <w:t>incremento</w:t>
      </w:r>
      <w:r w:rsidRPr="0082127B">
        <w:t xml:space="preserve"> del 2,9%</w:t>
      </w:r>
      <w:r w:rsidR="000A27EC" w:rsidRPr="0082127B">
        <w:t xml:space="preserve"> de las estadías de alto valor agregado</w:t>
      </w:r>
      <w:r w:rsidRPr="0082127B">
        <w:t xml:space="preserve"> en los dos primeros meses de 2012 con respecto al mismo período de 2011. El número de </w:t>
      </w:r>
      <w:r w:rsidR="000A27EC" w:rsidRPr="0082127B">
        <w:t>visitantes</w:t>
      </w:r>
      <w:r w:rsidRPr="0082127B">
        <w:t xml:space="preserve"> aumentó considerablemente gracias a un plan de vuelos gratuitos para </w:t>
      </w:r>
      <w:r w:rsidR="00E02E17" w:rsidRPr="0082127B">
        <w:t>un</w:t>
      </w:r>
      <w:r w:rsidRPr="0082127B">
        <w:t xml:space="preserve"> acompañante (</w:t>
      </w:r>
      <w:proofErr w:type="spellStart"/>
      <w:r w:rsidRPr="0082127B">
        <w:t>Companion</w:t>
      </w:r>
      <w:proofErr w:type="spellEnd"/>
      <w:r w:rsidRPr="0082127B">
        <w:t xml:space="preserve"> </w:t>
      </w:r>
      <w:proofErr w:type="spellStart"/>
      <w:r w:rsidRPr="0082127B">
        <w:t>Fly</w:t>
      </w:r>
      <w:proofErr w:type="spellEnd"/>
      <w:r w:rsidRPr="0082127B">
        <w:t xml:space="preserve"> Free). En el primer trimestre de 2012 llegaron 497.684 pasajeros de cruceros, lo que representaba un incremento del 9,2% con respecto al mismo período del año anterior. Se mantuvo el dinamismo del sector de servicios financieros extraterritoriales, en que aumentaron las inscripciones de entidades en un contexto de mayor confianza de los inversores ante un esfuerzo por relanzar el sector. La actividad en la construcción repuntó gracias al proyecto </w:t>
      </w:r>
      <w:proofErr w:type="spellStart"/>
      <w:r w:rsidRPr="0082127B">
        <w:t>Baha</w:t>
      </w:r>
      <w:proofErr w:type="spellEnd"/>
      <w:r w:rsidRPr="0082127B">
        <w:t xml:space="preserve"> Mar </w:t>
      </w:r>
      <w:r w:rsidR="000A27EC" w:rsidRPr="0082127B">
        <w:t xml:space="preserve">Resort </w:t>
      </w:r>
      <w:r w:rsidRPr="0082127B">
        <w:t>y a obras de infraestructura via</w:t>
      </w:r>
      <w:r w:rsidR="0053274E">
        <w:t>l</w:t>
      </w:r>
      <w:r w:rsidRPr="0082127B">
        <w:t xml:space="preserve"> y </w:t>
      </w:r>
      <w:r w:rsidR="000A27EC" w:rsidRPr="0082127B">
        <w:t>aeroportuaria</w:t>
      </w:r>
      <w:r w:rsidRPr="0082127B">
        <w:t xml:space="preserve">. La inflación subió hasta el 2,5% en febrero, al mantenerse la tendencia al alza de los precios de los combustibles que condujo a un considerable encarecimiento de la gasolina y el </w:t>
      </w:r>
      <w:proofErr w:type="spellStart"/>
      <w:r w:rsidRPr="0082127B">
        <w:t>diésel</w:t>
      </w:r>
      <w:proofErr w:type="spellEnd"/>
      <w:r w:rsidRPr="0082127B">
        <w:t>.</w:t>
      </w:r>
    </w:p>
    <w:p w:rsidR="0053378D" w:rsidRPr="0082127B" w:rsidRDefault="0053378D" w:rsidP="0082127B"/>
    <w:p w:rsidR="0053378D" w:rsidRPr="0082127B" w:rsidRDefault="0053378D" w:rsidP="0082127B">
      <w:r w:rsidRPr="0082127B">
        <w:tab/>
        <w:t xml:space="preserve">El déficit de la balanza </w:t>
      </w:r>
      <w:r w:rsidR="00F81DC3" w:rsidRPr="0082127B">
        <w:t>en</w:t>
      </w:r>
      <w:r w:rsidRPr="0082127B">
        <w:t xml:space="preserve"> cuenta corriente aumentó en marzo de 201</w:t>
      </w:r>
      <w:r w:rsidR="00C23317" w:rsidRPr="0082127B">
        <w:t>2</w:t>
      </w:r>
      <w:r w:rsidRPr="0082127B">
        <w:t xml:space="preserve"> con respecto al mismo período del año anterior, lo que </w:t>
      </w:r>
      <w:r w:rsidR="00211B26" w:rsidRPr="0082127B">
        <w:t>cabe</w:t>
      </w:r>
      <w:r w:rsidRPr="0082127B">
        <w:t xml:space="preserve"> atribuir a una expansión de las importaciones de materiales para la construcción y de otros bienes, que neutralizaron el incremento de los ingresos por turismo.</w:t>
      </w:r>
    </w:p>
    <w:p w:rsidR="0053378D" w:rsidRPr="0082127B" w:rsidRDefault="0053378D" w:rsidP="0082127B"/>
    <w:p w:rsidR="0053378D" w:rsidRPr="0082127B" w:rsidRDefault="0053378D" w:rsidP="0082127B">
      <w:r w:rsidRPr="0082127B">
        <w:tab/>
      </w:r>
      <w:r w:rsidR="00211B26" w:rsidRPr="0082127B">
        <w:t>Las previsiones apuntan a</w:t>
      </w:r>
      <w:r w:rsidRPr="0082127B">
        <w:t xml:space="preserve"> que la inflación suba ligeramente, impulsada por la reactivación económica y los elevados precios de los combustibles. </w:t>
      </w:r>
      <w:r w:rsidR="00211B26" w:rsidRPr="0082127B">
        <w:t>Asimismo, se espera</w:t>
      </w:r>
      <w:r w:rsidRPr="0082127B">
        <w:t xml:space="preserve"> un mayor déficit fiscal si el nuevo gobierno pone en marcha los principales programas que </w:t>
      </w:r>
      <w:r w:rsidR="00211B26" w:rsidRPr="0082127B">
        <w:t>adelantó</w:t>
      </w:r>
      <w:r w:rsidRPr="0082127B">
        <w:t xml:space="preserve"> en su manifiesto electoral. </w:t>
      </w:r>
      <w:r w:rsidR="00211B26" w:rsidRPr="0082127B">
        <w:t>Por otra parte</w:t>
      </w:r>
      <w:r w:rsidRPr="0082127B">
        <w:t xml:space="preserve">, el déficit de la cuenta corriente de la balanza de pagos se </w:t>
      </w:r>
      <w:r w:rsidR="00150A00" w:rsidRPr="0082127B">
        <w:t>ampliaría</w:t>
      </w:r>
      <w:r w:rsidRPr="0082127B">
        <w:t xml:space="preserve"> debido al encarecimiento de la factura del petróleo y otras importaciones necesarias para </w:t>
      </w:r>
      <w:r w:rsidR="0053274E">
        <w:t>grandes proyectos</w:t>
      </w:r>
      <w:r w:rsidRPr="0082127B">
        <w:t>.</w:t>
      </w:r>
    </w:p>
    <w:sectPr w:rsidR="0053378D" w:rsidRPr="0082127B" w:rsidSect="001F5698">
      <w:headerReference w:type="default" r:id="rId8"/>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3514" w:rsidRDefault="00193514">
      <w:r>
        <w:separator/>
      </w:r>
    </w:p>
  </w:endnote>
  <w:endnote w:type="continuationSeparator" w:id="0">
    <w:p w:rsidR="00193514" w:rsidRDefault="001935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3514" w:rsidRDefault="00193514">
      <w:r>
        <w:separator/>
      </w:r>
    </w:p>
  </w:footnote>
  <w:footnote w:type="continuationSeparator" w:id="0">
    <w:p w:rsidR="00193514" w:rsidRDefault="001935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4B8E" w:rsidRDefault="00B06535">
    <w:pPr>
      <w:pStyle w:val="Header"/>
      <w:jc w:val="center"/>
    </w:pPr>
    <w:fldSimple w:instr=" PAGE   \* MERGEFORMAT ">
      <w:r w:rsidR="001F5698">
        <w:rPr>
          <w:noProof/>
        </w:rPr>
        <w:t>1</w:t>
      </w:r>
    </w:fldSimple>
  </w:p>
  <w:p w:rsidR="0044530D" w:rsidRPr="00CB4B8E" w:rsidRDefault="0044530D" w:rsidP="00CB4B8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C739B"/>
    <w:multiLevelType w:val="hybridMultilevel"/>
    <w:tmpl w:val="A1B6757C"/>
    <w:lvl w:ilvl="0" w:tplc="82FC6F2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F1E3FAC"/>
    <w:multiLevelType w:val="multilevel"/>
    <w:tmpl w:val="03704E9E"/>
    <w:lvl w:ilvl="0">
      <w:start w:val="3"/>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720"/>
      </w:p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
    <w:nsid w:val="34491E43"/>
    <w:multiLevelType w:val="multilevel"/>
    <w:tmpl w:val="A2AAD94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44436FD4"/>
    <w:multiLevelType w:val="hybridMultilevel"/>
    <w:tmpl w:val="7D1E80BA"/>
    <w:lvl w:ilvl="0" w:tplc="0809000F">
      <w:start w:val="1"/>
      <w:numFmt w:val="decimal"/>
      <w:lvlText w:val="%1."/>
      <w:lvlJc w:val="left"/>
      <w:pPr>
        <w:tabs>
          <w:tab w:val="num" w:pos="720"/>
        </w:tabs>
        <w:ind w:left="720" w:hanging="360"/>
      </w:pPr>
      <w:rPr>
        <w:rFonts w:hint="default"/>
      </w:rPr>
    </w:lvl>
    <w:lvl w:ilvl="1" w:tplc="04090017">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58532F1B"/>
    <w:multiLevelType w:val="hybridMultilevel"/>
    <w:tmpl w:val="2FBE013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4A7329B"/>
    <w:multiLevelType w:val="hybridMultilevel"/>
    <w:tmpl w:val="F6C0DF30"/>
    <w:lvl w:ilvl="0" w:tplc="04090001">
      <w:start w:val="1"/>
      <w:numFmt w:val="bullet"/>
      <w:lvlText w:val=""/>
      <w:lvlJc w:val="left"/>
      <w:pPr>
        <w:ind w:left="1428" w:hanging="360"/>
      </w:pPr>
      <w:rPr>
        <w:rFonts w:ascii="Symbol" w:hAnsi="Symbol" w:hint="default"/>
      </w:rPr>
    </w:lvl>
    <w:lvl w:ilvl="1" w:tplc="E47AD880">
      <w:start w:val="2009"/>
      <w:numFmt w:val="bullet"/>
      <w:lvlText w:val="-"/>
      <w:lvlJc w:val="left"/>
      <w:pPr>
        <w:ind w:left="2148" w:hanging="360"/>
      </w:pPr>
      <w:rPr>
        <w:rFonts w:ascii="Calibri" w:eastAsia="Times New Roman" w:hAnsi="Calibri"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revisionView w:markup="0"/>
  <w:doNotTrackMoves/>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0026A"/>
    <w:rsid w:val="00000EB0"/>
    <w:rsid w:val="000027BD"/>
    <w:rsid w:val="000121C1"/>
    <w:rsid w:val="00016AEF"/>
    <w:rsid w:val="000310E0"/>
    <w:rsid w:val="00037D95"/>
    <w:rsid w:val="000409C0"/>
    <w:rsid w:val="00060BB6"/>
    <w:rsid w:val="000621A6"/>
    <w:rsid w:val="0006335B"/>
    <w:rsid w:val="00067200"/>
    <w:rsid w:val="000759A9"/>
    <w:rsid w:val="000855E5"/>
    <w:rsid w:val="000A0E49"/>
    <w:rsid w:val="000A1414"/>
    <w:rsid w:val="000A27EC"/>
    <w:rsid w:val="000A7C2D"/>
    <w:rsid w:val="000B4869"/>
    <w:rsid w:val="000B6E0D"/>
    <w:rsid w:val="000C5AD1"/>
    <w:rsid w:val="000C5CD8"/>
    <w:rsid w:val="000D0CC2"/>
    <w:rsid w:val="000F3C7B"/>
    <w:rsid w:val="00100137"/>
    <w:rsid w:val="00115C57"/>
    <w:rsid w:val="001335D3"/>
    <w:rsid w:val="00134D4C"/>
    <w:rsid w:val="00144830"/>
    <w:rsid w:val="00150583"/>
    <w:rsid w:val="00150A00"/>
    <w:rsid w:val="001559C3"/>
    <w:rsid w:val="00161871"/>
    <w:rsid w:val="001708CF"/>
    <w:rsid w:val="0017498C"/>
    <w:rsid w:val="001753F9"/>
    <w:rsid w:val="00185408"/>
    <w:rsid w:val="00185715"/>
    <w:rsid w:val="00193514"/>
    <w:rsid w:val="001A4640"/>
    <w:rsid w:val="001B04AD"/>
    <w:rsid w:val="001B1CBE"/>
    <w:rsid w:val="001C09A8"/>
    <w:rsid w:val="001D4443"/>
    <w:rsid w:val="001D4817"/>
    <w:rsid w:val="001D4985"/>
    <w:rsid w:val="001D4E76"/>
    <w:rsid w:val="001D60EC"/>
    <w:rsid w:val="001E30E5"/>
    <w:rsid w:val="001E6751"/>
    <w:rsid w:val="001E7F0A"/>
    <w:rsid w:val="001F1315"/>
    <w:rsid w:val="001F266D"/>
    <w:rsid w:val="001F5698"/>
    <w:rsid w:val="00202A1B"/>
    <w:rsid w:val="002040F1"/>
    <w:rsid w:val="002107B0"/>
    <w:rsid w:val="00211B26"/>
    <w:rsid w:val="00212259"/>
    <w:rsid w:val="00215492"/>
    <w:rsid w:val="0021620B"/>
    <w:rsid w:val="00220C2D"/>
    <w:rsid w:val="00223046"/>
    <w:rsid w:val="00226938"/>
    <w:rsid w:val="0023268B"/>
    <w:rsid w:val="0023510E"/>
    <w:rsid w:val="0024049D"/>
    <w:rsid w:val="002573AE"/>
    <w:rsid w:val="002577A4"/>
    <w:rsid w:val="00260755"/>
    <w:rsid w:val="002703BE"/>
    <w:rsid w:val="00271541"/>
    <w:rsid w:val="002732F3"/>
    <w:rsid w:val="00290E8E"/>
    <w:rsid w:val="0029127A"/>
    <w:rsid w:val="002948FC"/>
    <w:rsid w:val="002965BB"/>
    <w:rsid w:val="002975DB"/>
    <w:rsid w:val="002A075C"/>
    <w:rsid w:val="002A2CB9"/>
    <w:rsid w:val="002A4F10"/>
    <w:rsid w:val="002A7D77"/>
    <w:rsid w:val="002B3B54"/>
    <w:rsid w:val="002B4A0A"/>
    <w:rsid w:val="002B705D"/>
    <w:rsid w:val="002C038B"/>
    <w:rsid w:val="002C41B3"/>
    <w:rsid w:val="002C4A9F"/>
    <w:rsid w:val="002C5676"/>
    <w:rsid w:val="002D7B40"/>
    <w:rsid w:val="002D7E33"/>
    <w:rsid w:val="002E391F"/>
    <w:rsid w:val="002E3FC8"/>
    <w:rsid w:val="00304029"/>
    <w:rsid w:val="003052C9"/>
    <w:rsid w:val="00305A7C"/>
    <w:rsid w:val="0030684D"/>
    <w:rsid w:val="00312AFA"/>
    <w:rsid w:val="003153B5"/>
    <w:rsid w:val="003202FB"/>
    <w:rsid w:val="003210F6"/>
    <w:rsid w:val="00331115"/>
    <w:rsid w:val="00332124"/>
    <w:rsid w:val="00334D91"/>
    <w:rsid w:val="00342848"/>
    <w:rsid w:val="00347CBF"/>
    <w:rsid w:val="00352A78"/>
    <w:rsid w:val="00354EBE"/>
    <w:rsid w:val="00361AAD"/>
    <w:rsid w:val="00364D55"/>
    <w:rsid w:val="00364F35"/>
    <w:rsid w:val="00371EE8"/>
    <w:rsid w:val="00380E98"/>
    <w:rsid w:val="00381F34"/>
    <w:rsid w:val="00391E17"/>
    <w:rsid w:val="003A583E"/>
    <w:rsid w:val="003B03D3"/>
    <w:rsid w:val="003B5A23"/>
    <w:rsid w:val="003C05CC"/>
    <w:rsid w:val="003C7390"/>
    <w:rsid w:val="003C73BB"/>
    <w:rsid w:val="003D3DAF"/>
    <w:rsid w:val="003D5D3E"/>
    <w:rsid w:val="003E3DF2"/>
    <w:rsid w:val="003E4ABA"/>
    <w:rsid w:val="003E68B6"/>
    <w:rsid w:val="003F0F7E"/>
    <w:rsid w:val="003F3122"/>
    <w:rsid w:val="003F5B04"/>
    <w:rsid w:val="003F6528"/>
    <w:rsid w:val="003F7362"/>
    <w:rsid w:val="00401D5D"/>
    <w:rsid w:val="004145E9"/>
    <w:rsid w:val="00414646"/>
    <w:rsid w:val="00416612"/>
    <w:rsid w:val="00424465"/>
    <w:rsid w:val="00424C57"/>
    <w:rsid w:val="00441953"/>
    <w:rsid w:val="0044341E"/>
    <w:rsid w:val="0044530D"/>
    <w:rsid w:val="00450202"/>
    <w:rsid w:val="00451766"/>
    <w:rsid w:val="00460353"/>
    <w:rsid w:val="00463FA0"/>
    <w:rsid w:val="00466221"/>
    <w:rsid w:val="004666ED"/>
    <w:rsid w:val="00467BF3"/>
    <w:rsid w:val="004810B6"/>
    <w:rsid w:val="0048140C"/>
    <w:rsid w:val="00481BB5"/>
    <w:rsid w:val="00486602"/>
    <w:rsid w:val="00486714"/>
    <w:rsid w:val="00490335"/>
    <w:rsid w:val="004A6440"/>
    <w:rsid w:val="004B2A12"/>
    <w:rsid w:val="004C48CD"/>
    <w:rsid w:val="004C77FA"/>
    <w:rsid w:val="004E46A0"/>
    <w:rsid w:val="004E658F"/>
    <w:rsid w:val="004F002B"/>
    <w:rsid w:val="004F1B4D"/>
    <w:rsid w:val="0050029D"/>
    <w:rsid w:val="00500540"/>
    <w:rsid w:val="00501BE8"/>
    <w:rsid w:val="00502C42"/>
    <w:rsid w:val="005225E3"/>
    <w:rsid w:val="00524DEB"/>
    <w:rsid w:val="005305F9"/>
    <w:rsid w:val="0053274E"/>
    <w:rsid w:val="00533011"/>
    <w:rsid w:val="0053378D"/>
    <w:rsid w:val="00534FB8"/>
    <w:rsid w:val="00544B3D"/>
    <w:rsid w:val="00545548"/>
    <w:rsid w:val="00551EE2"/>
    <w:rsid w:val="00555098"/>
    <w:rsid w:val="00557647"/>
    <w:rsid w:val="00563B65"/>
    <w:rsid w:val="005642FD"/>
    <w:rsid w:val="00565B57"/>
    <w:rsid w:val="0057070F"/>
    <w:rsid w:val="0058288D"/>
    <w:rsid w:val="00590314"/>
    <w:rsid w:val="00591212"/>
    <w:rsid w:val="005A50CB"/>
    <w:rsid w:val="005B2AB5"/>
    <w:rsid w:val="005B3703"/>
    <w:rsid w:val="005B3B8C"/>
    <w:rsid w:val="005C09D1"/>
    <w:rsid w:val="005C1BBF"/>
    <w:rsid w:val="005C697A"/>
    <w:rsid w:val="005D5B0E"/>
    <w:rsid w:val="005D5DF8"/>
    <w:rsid w:val="005E0B8E"/>
    <w:rsid w:val="005F10F9"/>
    <w:rsid w:val="005F54A6"/>
    <w:rsid w:val="005F5E6E"/>
    <w:rsid w:val="00614311"/>
    <w:rsid w:val="006157A6"/>
    <w:rsid w:val="006207DE"/>
    <w:rsid w:val="00620BAE"/>
    <w:rsid w:val="00627AAA"/>
    <w:rsid w:val="006348F9"/>
    <w:rsid w:val="00634E95"/>
    <w:rsid w:val="00636253"/>
    <w:rsid w:val="0065399E"/>
    <w:rsid w:val="00665358"/>
    <w:rsid w:val="0066648A"/>
    <w:rsid w:val="00671A42"/>
    <w:rsid w:val="00671CFF"/>
    <w:rsid w:val="00684A68"/>
    <w:rsid w:val="0069030F"/>
    <w:rsid w:val="00690D0B"/>
    <w:rsid w:val="00690D9E"/>
    <w:rsid w:val="006924BB"/>
    <w:rsid w:val="00695A62"/>
    <w:rsid w:val="0069722A"/>
    <w:rsid w:val="006B0FB4"/>
    <w:rsid w:val="006C00E2"/>
    <w:rsid w:val="006C44CC"/>
    <w:rsid w:val="006D0193"/>
    <w:rsid w:val="006D0965"/>
    <w:rsid w:val="006D1F60"/>
    <w:rsid w:val="006D2D5F"/>
    <w:rsid w:val="006E0CFC"/>
    <w:rsid w:val="006E3E05"/>
    <w:rsid w:val="006E4C89"/>
    <w:rsid w:val="006E5E63"/>
    <w:rsid w:val="006E6A2E"/>
    <w:rsid w:val="006F290F"/>
    <w:rsid w:val="00707B63"/>
    <w:rsid w:val="0071010B"/>
    <w:rsid w:val="0071321E"/>
    <w:rsid w:val="00722C2A"/>
    <w:rsid w:val="00723EDD"/>
    <w:rsid w:val="00731E6D"/>
    <w:rsid w:val="007333DD"/>
    <w:rsid w:val="0073383F"/>
    <w:rsid w:val="00734939"/>
    <w:rsid w:val="0073522B"/>
    <w:rsid w:val="0074530E"/>
    <w:rsid w:val="00745FC7"/>
    <w:rsid w:val="007524C2"/>
    <w:rsid w:val="00754116"/>
    <w:rsid w:val="00757DB5"/>
    <w:rsid w:val="0076090C"/>
    <w:rsid w:val="00762142"/>
    <w:rsid w:val="00763479"/>
    <w:rsid w:val="00765D2D"/>
    <w:rsid w:val="007716B6"/>
    <w:rsid w:val="007725EC"/>
    <w:rsid w:val="007778FA"/>
    <w:rsid w:val="007812A7"/>
    <w:rsid w:val="0078548C"/>
    <w:rsid w:val="0079268B"/>
    <w:rsid w:val="00792748"/>
    <w:rsid w:val="0079464A"/>
    <w:rsid w:val="007A0E9A"/>
    <w:rsid w:val="007A48F4"/>
    <w:rsid w:val="007A6D36"/>
    <w:rsid w:val="007B35DA"/>
    <w:rsid w:val="007B5D00"/>
    <w:rsid w:val="007C5D55"/>
    <w:rsid w:val="007D42BD"/>
    <w:rsid w:val="007D6F13"/>
    <w:rsid w:val="007D7FAE"/>
    <w:rsid w:val="007F19CC"/>
    <w:rsid w:val="007F2854"/>
    <w:rsid w:val="00802D71"/>
    <w:rsid w:val="0080376A"/>
    <w:rsid w:val="00806BF2"/>
    <w:rsid w:val="0081030E"/>
    <w:rsid w:val="008137A5"/>
    <w:rsid w:val="0082127B"/>
    <w:rsid w:val="00822637"/>
    <w:rsid w:val="0083383C"/>
    <w:rsid w:val="00841FD1"/>
    <w:rsid w:val="00843BB1"/>
    <w:rsid w:val="008539AD"/>
    <w:rsid w:val="00860B22"/>
    <w:rsid w:val="00861158"/>
    <w:rsid w:val="00863348"/>
    <w:rsid w:val="00867F2A"/>
    <w:rsid w:val="00874DF6"/>
    <w:rsid w:val="008753E0"/>
    <w:rsid w:val="0087684F"/>
    <w:rsid w:val="0088561F"/>
    <w:rsid w:val="00885A5B"/>
    <w:rsid w:val="008866D8"/>
    <w:rsid w:val="00887BBC"/>
    <w:rsid w:val="00893A1A"/>
    <w:rsid w:val="008A3E42"/>
    <w:rsid w:val="008A78E4"/>
    <w:rsid w:val="008B2B5C"/>
    <w:rsid w:val="008B47D2"/>
    <w:rsid w:val="008B542A"/>
    <w:rsid w:val="008B67A1"/>
    <w:rsid w:val="008C0886"/>
    <w:rsid w:val="008C172A"/>
    <w:rsid w:val="008C7811"/>
    <w:rsid w:val="008D0490"/>
    <w:rsid w:val="008D04A9"/>
    <w:rsid w:val="008D1EC3"/>
    <w:rsid w:val="008D7373"/>
    <w:rsid w:val="008D7D0C"/>
    <w:rsid w:val="008E25AF"/>
    <w:rsid w:val="008F174C"/>
    <w:rsid w:val="008F1E07"/>
    <w:rsid w:val="00900109"/>
    <w:rsid w:val="0090481D"/>
    <w:rsid w:val="00904DBD"/>
    <w:rsid w:val="00906F8D"/>
    <w:rsid w:val="00911BCF"/>
    <w:rsid w:val="009148DE"/>
    <w:rsid w:val="00915C93"/>
    <w:rsid w:val="00915F82"/>
    <w:rsid w:val="009167F2"/>
    <w:rsid w:val="009168E7"/>
    <w:rsid w:val="00920F68"/>
    <w:rsid w:val="0093020C"/>
    <w:rsid w:val="0093220F"/>
    <w:rsid w:val="0094191A"/>
    <w:rsid w:val="00945AFA"/>
    <w:rsid w:val="00945B0B"/>
    <w:rsid w:val="0095052A"/>
    <w:rsid w:val="009615B8"/>
    <w:rsid w:val="00961929"/>
    <w:rsid w:val="009629DE"/>
    <w:rsid w:val="009645B8"/>
    <w:rsid w:val="00964FB6"/>
    <w:rsid w:val="00991AAA"/>
    <w:rsid w:val="009963B2"/>
    <w:rsid w:val="009A0644"/>
    <w:rsid w:val="009A3450"/>
    <w:rsid w:val="009A7A13"/>
    <w:rsid w:val="009B240B"/>
    <w:rsid w:val="009B2D66"/>
    <w:rsid w:val="009D3A7B"/>
    <w:rsid w:val="009D5F04"/>
    <w:rsid w:val="009E3E17"/>
    <w:rsid w:val="009E527C"/>
    <w:rsid w:val="009E62BE"/>
    <w:rsid w:val="009F039F"/>
    <w:rsid w:val="009F3CB3"/>
    <w:rsid w:val="00A0305D"/>
    <w:rsid w:val="00A06A92"/>
    <w:rsid w:val="00A1084B"/>
    <w:rsid w:val="00A12D2F"/>
    <w:rsid w:val="00A21629"/>
    <w:rsid w:val="00A24ECF"/>
    <w:rsid w:val="00A30AC3"/>
    <w:rsid w:val="00A33B61"/>
    <w:rsid w:val="00A357EA"/>
    <w:rsid w:val="00A3665F"/>
    <w:rsid w:val="00A41D2F"/>
    <w:rsid w:val="00A436CE"/>
    <w:rsid w:val="00A44953"/>
    <w:rsid w:val="00A472DA"/>
    <w:rsid w:val="00A5097E"/>
    <w:rsid w:val="00A51C88"/>
    <w:rsid w:val="00A51D39"/>
    <w:rsid w:val="00A54C20"/>
    <w:rsid w:val="00A554D2"/>
    <w:rsid w:val="00A65F0F"/>
    <w:rsid w:val="00A664F2"/>
    <w:rsid w:val="00A7043D"/>
    <w:rsid w:val="00A7553C"/>
    <w:rsid w:val="00A77557"/>
    <w:rsid w:val="00A82882"/>
    <w:rsid w:val="00A8400A"/>
    <w:rsid w:val="00A86FD3"/>
    <w:rsid w:val="00A94D89"/>
    <w:rsid w:val="00A955D2"/>
    <w:rsid w:val="00AA12A6"/>
    <w:rsid w:val="00AA3137"/>
    <w:rsid w:val="00AA37C1"/>
    <w:rsid w:val="00AA5AAC"/>
    <w:rsid w:val="00AB0B91"/>
    <w:rsid w:val="00AB3617"/>
    <w:rsid w:val="00AC257E"/>
    <w:rsid w:val="00AD1371"/>
    <w:rsid w:val="00AD3AFB"/>
    <w:rsid w:val="00AD3DCB"/>
    <w:rsid w:val="00AD6077"/>
    <w:rsid w:val="00AE025A"/>
    <w:rsid w:val="00AE0C11"/>
    <w:rsid w:val="00AF1281"/>
    <w:rsid w:val="00B00FDC"/>
    <w:rsid w:val="00B06535"/>
    <w:rsid w:val="00B116F7"/>
    <w:rsid w:val="00B22E34"/>
    <w:rsid w:val="00B27A67"/>
    <w:rsid w:val="00B30564"/>
    <w:rsid w:val="00B32A03"/>
    <w:rsid w:val="00B35CC9"/>
    <w:rsid w:val="00B36252"/>
    <w:rsid w:val="00B40029"/>
    <w:rsid w:val="00B407AB"/>
    <w:rsid w:val="00B414B9"/>
    <w:rsid w:val="00B41AAE"/>
    <w:rsid w:val="00B44DC8"/>
    <w:rsid w:val="00B578EE"/>
    <w:rsid w:val="00B62925"/>
    <w:rsid w:val="00B678F4"/>
    <w:rsid w:val="00B67F2D"/>
    <w:rsid w:val="00B71BEC"/>
    <w:rsid w:val="00B740E8"/>
    <w:rsid w:val="00B75AB4"/>
    <w:rsid w:val="00BA3FC1"/>
    <w:rsid w:val="00BA4E34"/>
    <w:rsid w:val="00BB64AD"/>
    <w:rsid w:val="00BB6B1D"/>
    <w:rsid w:val="00BC0469"/>
    <w:rsid w:val="00BC56BB"/>
    <w:rsid w:val="00BD34B5"/>
    <w:rsid w:val="00BD5D0F"/>
    <w:rsid w:val="00BD68D9"/>
    <w:rsid w:val="00BE21FE"/>
    <w:rsid w:val="00BF281E"/>
    <w:rsid w:val="00BF4D28"/>
    <w:rsid w:val="00C0026A"/>
    <w:rsid w:val="00C01408"/>
    <w:rsid w:val="00C04328"/>
    <w:rsid w:val="00C11A2B"/>
    <w:rsid w:val="00C11FA6"/>
    <w:rsid w:val="00C2095B"/>
    <w:rsid w:val="00C213B4"/>
    <w:rsid w:val="00C23317"/>
    <w:rsid w:val="00C270FD"/>
    <w:rsid w:val="00C32D24"/>
    <w:rsid w:val="00C41715"/>
    <w:rsid w:val="00C47CDE"/>
    <w:rsid w:val="00C50080"/>
    <w:rsid w:val="00C54995"/>
    <w:rsid w:val="00C84D46"/>
    <w:rsid w:val="00CA3B68"/>
    <w:rsid w:val="00CB1D78"/>
    <w:rsid w:val="00CB2441"/>
    <w:rsid w:val="00CB4B8E"/>
    <w:rsid w:val="00CC62C3"/>
    <w:rsid w:val="00CD5960"/>
    <w:rsid w:val="00CD7008"/>
    <w:rsid w:val="00CE4390"/>
    <w:rsid w:val="00CF10F0"/>
    <w:rsid w:val="00CF3F2F"/>
    <w:rsid w:val="00CF4611"/>
    <w:rsid w:val="00D047BA"/>
    <w:rsid w:val="00D11787"/>
    <w:rsid w:val="00D13A75"/>
    <w:rsid w:val="00D33792"/>
    <w:rsid w:val="00D34295"/>
    <w:rsid w:val="00D354BB"/>
    <w:rsid w:val="00D41056"/>
    <w:rsid w:val="00D46174"/>
    <w:rsid w:val="00D46516"/>
    <w:rsid w:val="00D465A2"/>
    <w:rsid w:val="00D50028"/>
    <w:rsid w:val="00D50639"/>
    <w:rsid w:val="00D54714"/>
    <w:rsid w:val="00D54BAE"/>
    <w:rsid w:val="00D67B53"/>
    <w:rsid w:val="00D70BA2"/>
    <w:rsid w:val="00D7139E"/>
    <w:rsid w:val="00D7188B"/>
    <w:rsid w:val="00D82D3A"/>
    <w:rsid w:val="00D86C40"/>
    <w:rsid w:val="00D90B1A"/>
    <w:rsid w:val="00DB199C"/>
    <w:rsid w:val="00DB29A9"/>
    <w:rsid w:val="00DB4B55"/>
    <w:rsid w:val="00DB7DF5"/>
    <w:rsid w:val="00DC6765"/>
    <w:rsid w:val="00DD029E"/>
    <w:rsid w:val="00DD5D4A"/>
    <w:rsid w:val="00DE09F0"/>
    <w:rsid w:val="00DF0F19"/>
    <w:rsid w:val="00DF3DDB"/>
    <w:rsid w:val="00DF5191"/>
    <w:rsid w:val="00DF7EEE"/>
    <w:rsid w:val="00E02E17"/>
    <w:rsid w:val="00E06E46"/>
    <w:rsid w:val="00E10942"/>
    <w:rsid w:val="00E10C29"/>
    <w:rsid w:val="00E15147"/>
    <w:rsid w:val="00E15A3A"/>
    <w:rsid w:val="00E1642E"/>
    <w:rsid w:val="00E203AD"/>
    <w:rsid w:val="00E25219"/>
    <w:rsid w:val="00E2691E"/>
    <w:rsid w:val="00E30EA1"/>
    <w:rsid w:val="00E310D0"/>
    <w:rsid w:val="00E3434B"/>
    <w:rsid w:val="00E35827"/>
    <w:rsid w:val="00E35CB2"/>
    <w:rsid w:val="00E37CE0"/>
    <w:rsid w:val="00E46BD0"/>
    <w:rsid w:val="00E51F76"/>
    <w:rsid w:val="00E5238F"/>
    <w:rsid w:val="00E70D36"/>
    <w:rsid w:val="00E7123B"/>
    <w:rsid w:val="00E724C1"/>
    <w:rsid w:val="00E84655"/>
    <w:rsid w:val="00E9173F"/>
    <w:rsid w:val="00E97567"/>
    <w:rsid w:val="00EA3AF3"/>
    <w:rsid w:val="00EA4A37"/>
    <w:rsid w:val="00EA5D15"/>
    <w:rsid w:val="00EA629A"/>
    <w:rsid w:val="00EB4E82"/>
    <w:rsid w:val="00EC2F7C"/>
    <w:rsid w:val="00EC3625"/>
    <w:rsid w:val="00EC6A07"/>
    <w:rsid w:val="00EC7C24"/>
    <w:rsid w:val="00ED1BC3"/>
    <w:rsid w:val="00ED28B2"/>
    <w:rsid w:val="00ED5036"/>
    <w:rsid w:val="00ED7BF1"/>
    <w:rsid w:val="00EE68C1"/>
    <w:rsid w:val="00EE6C2A"/>
    <w:rsid w:val="00EF291A"/>
    <w:rsid w:val="00EF539C"/>
    <w:rsid w:val="00F10522"/>
    <w:rsid w:val="00F14A46"/>
    <w:rsid w:val="00F15E60"/>
    <w:rsid w:val="00F21325"/>
    <w:rsid w:val="00F21D26"/>
    <w:rsid w:val="00F23F76"/>
    <w:rsid w:val="00F250CB"/>
    <w:rsid w:val="00F31812"/>
    <w:rsid w:val="00F40BCB"/>
    <w:rsid w:val="00F40BD1"/>
    <w:rsid w:val="00F415BA"/>
    <w:rsid w:val="00F443E3"/>
    <w:rsid w:val="00F45528"/>
    <w:rsid w:val="00F50A85"/>
    <w:rsid w:val="00F51D51"/>
    <w:rsid w:val="00F5336E"/>
    <w:rsid w:val="00F57601"/>
    <w:rsid w:val="00F630BE"/>
    <w:rsid w:val="00F654BC"/>
    <w:rsid w:val="00F707DC"/>
    <w:rsid w:val="00F7307F"/>
    <w:rsid w:val="00F742D9"/>
    <w:rsid w:val="00F74E50"/>
    <w:rsid w:val="00F77EB5"/>
    <w:rsid w:val="00F81DC3"/>
    <w:rsid w:val="00F92B47"/>
    <w:rsid w:val="00F93FD3"/>
    <w:rsid w:val="00F9407A"/>
    <w:rsid w:val="00F95824"/>
    <w:rsid w:val="00F96920"/>
    <w:rsid w:val="00FA0F95"/>
    <w:rsid w:val="00FA23C4"/>
    <w:rsid w:val="00FB3470"/>
    <w:rsid w:val="00FB6813"/>
    <w:rsid w:val="00FC2E3F"/>
    <w:rsid w:val="00FC680E"/>
    <w:rsid w:val="00FC6EA3"/>
    <w:rsid w:val="00FC768D"/>
    <w:rsid w:val="00FD422E"/>
    <w:rsid w:val="00FE0948"/>
    <w:rsid w:val="00FE11A6"/>
    <w:rsid w:val="00FE195D"/>
    <w:rsid w:val="00FE4374"/>
    <w:rsid w:val="00FE66DD"/>
    <w:rsid w:val="00FF09C6"/>
    <w:rsid w:val="00FF5D1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2127B"/>
    <w:pPr>
      <w:jc w:val="both"/>
    </w:pPr>
    <w:rPr>
      <w:sz w:val="22"/>
      <w:szCs w:val="24"/>
      <w:lang w:val="es-ES" w:eastAsia="es-ES" w:bidi="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B4B8E"/>
    <w:pPr>
      <w:tabs>
        <w:tab w:val="center" w:pos="4680"/>
        <w:tab w:val="right" w:pos="9360"/>
      </w:tabs>
    </w:pPr>
  </w:style>
  <w:style w:type="character" w:customStyle="1" w:styleId="HeaderChar">
    <w:name w:val="Header Char"/>
    <w:basedOn w:val="DefaultParagraphFont"/>
    <w:link w:val="Header"/>
    <w:uiPriority w:val="99"/>
    <w:rsid w:val="00CB4B8E"/>
    <w:rPr>
      <w:sz w:val="22"/>
      <w:szCs w:val="24"/>
    </w:rPr>
  </w:style>
  <w:style w:type="paragraph" w:styleId="Footer">
    <w:name w:val="footer"/>
    <w:basedOn w:val="Normal"/>
    <w:link w:val="FooterChar"/>
    <w:rsid w:val="00CB4B8E"/>
    <w:pPr>
      <w:tabs>
        <w:tab w:val="center" w:pos="4680"/>
        <w:tab w:val="right" w:pos="9360"/>
      </w:tabs>
    </w:pPr>
  </w:style>
  <w:style w:type="character" w:customStyle="1" w:styleId="FooterChar">
    <w:name w:val="Footer Char"/>
    <w:basedOn w:val="DefaultParagraphFont"/>
    <w:link w:val="Footer"/>
    <w:rsid w:val="00CB4B8E"/>
    <w:rPr>
      <w:sz w:val="22"/>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A5EDD3-C773-444E-B253-108DB2E45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2378</Words>
  <Characters>12403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Bahamas</vt:lpstr>
    </vt:vector>
  </TitlesOfParts>
  <Company>United Nations ECLAC Port of Spain</Company>
  <LinksUpToDate>false</LinksUpToDate>
  <CharactersWithSpaces>14752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Bahamas</dc:title>
  <dc:creator>mhendrickson</dc:creator>
  <cp:lastModifiedBy>gcandia</cp:lastModifiedBy>
  <cp:revision>11</cp:revision>
  <cp:lastPrinted>2012-08-08T15:10:00Z</cp:lastPrinted>
  <dcterms:created xsi:type="dcterms:W3CDTF">2012-08-01T22:20:00Z</dcterms:created>
  <dcterms:modified xsi:type="dcterms:W3CDTF">2012-08-13T16:04:00Z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485475117</vt:i4>
  </property>
</Properties>
</file>