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026A" w:rsidRPr="002A7D77" w:rsidRDefault="0044530D" w:rsidP="00115C57">
      <w:pPr>
        <w:jc w:val="center"/>
        <w:rPr>
          <w:b/>
          <w:lang w:val="en-CA"/>
        </w:rPr>
      </w:pPr>
      <w:r w:rsidRPr="00212259">
        <w:rPr>
          <w:b/>
          <w:lang w:val="en-CA"/>
        </w:rPr>
        <w:t>BAHAMAS</w:t>
      </w:r>
    </w:p>
    <w:p w:rsidR="00AB3617" w:rsidRDefault="00AB3617" w:rsidP="00115C57">
      <w:pPr>
        <w:rPr>
          <w:b/>
          <w:lang w:val="en-CA"/>
        </w:rPr>
      </w:pPr>
    </w:p>
    <w:p w:rsidR="0044530D" w:rsidRPr="002A7D77" w:rsidRDefault="0044530D" w:rsidP="00115C57">
      <w:pPr>
        <w:rPr>
          <w:b/>
          <w:lang w:val="en-CA"/>
        </w:rPr>
      </w:pPr>
    </w:p>
    <w:p w:rsidR="006C00E2" w:rsidRPr="002A7D77" w:rsidRDefault="00115C57" w:rsidP="00115C57">
      <w:pPr>
        <w:jc w:val="center"/>
        <w:rPr>
          <w:b/>
          <w:lang w:val="en-CA"/>
        </w:rPr>
      </w:pPr>
      <w:r>
        <w:rPr>
          <w:b/>
          <w:lang w:val="en-CA"/>
        </w:rPr>
        <w:t xml:space="preserve">1. </w:t>
      </w:r>
      <w:r w:rsidR="00212259" w:rsidRPr="00212259">
        <w:rPr>
          <w:b/>
          <w:lang w:val="en-CA"/>
        </w:rPr>
        <w:t>General trends</w:t>
      </w:r>
    </w:p>
    <w:p w:rsidR="000855E5" w:rsidRPr="002A7D77" w:rsidRDefault="000855E5" w:rsidP="00115C57">
      <w:pPr>
        <w:rPr>
          <w:lang w:val="en-CA"/>
        </w:rPr>
      </w:pPr>
    </w:p>
    <w:p w:rsidR="00A86FD3" w:rsidRPr="002A7D77" w:rsidRDefault="00212259" w:rsidP="00115C57">
      <w:pPr>
        <w:rPr>
          <w:lang w:val="en-CA"/>
        </w:rPr>
      </w:pPr>
      <w:r w:rsidRPr="00212259">
        <w:rPr>
          <w:lang w:val="en-CA"/>
        </w:rPr>
        <w:t>The economy continues to recover, with growth edging up from 0.2% in 2010 to 1.6% in 2011. The upturn in activity was driven by the tourism sector, which benefited from increased receipts from the higher value added stopover segment. Nevertheless, in a reversal of the situation before the crisis, higher fiscal deficits and escalating debt now present a major challenge to the economy.</w:t>
      </w:r>
      <w:r w:rsidR="00D54714">
        <w:rPr>
          <w:lang w:val="en-CA"/>
        </w:rPr>
        <w:t xml:space="preserve"> </w:t>
      </w:r>
      <w:r w:rsidRPr="00212259">
        <w:rPr>
          <w:lang w:val="en-CA"/>
        </w:rPr>
        <w:t>Therefore, a programme of fiscal consolidation, supported by measures to boost the competitiveness of the tourism sector, will be an important part of the policy mix to achieve stable growth.</w:t>
      </w:r>
    </w:p>
    <w:p w:rsidR="00A86FD3" w:rsidRPr="002A7D77" w:rsidRDefault="00A86FD3" w:rsidP="00115C57">
      <w:pPr>
        <w:rPr>
          <w:lang w:val="en-CA"/>
        </w:rPr>
      </w:pPr>
    </w:p>
    <w:p w:rsidR="007B5D00" w:rsidRPr="002A7D77" w:rsidRDefault="00115C57" w:rsidP="00115C57">
      <w:pPr>
        <w:rPr>
          <w:lang w:val="en-CA"/>
        </w:rPr>
      </w:pPr>
      <w:r>
        <w:rPr>
          <w:lang w:val="en-CA"/>
        </w:rPr>
        <w:tab/>
      </w:r>
      <w:r w:rsidR="00212259" w:rsidRPr="00212259">
        <w:rPr>
          <w:lang w:val="en-CA"/>
        </w:rPr>
        <w:t xml:space="preserve">A </w:t>
      </w:r>
      <w:r w:rsidR="00DF0F19">
        <w:rPr>
          <w:lang w:val="en-CA"/>
        </w:rPr>
        <w:t>more solid</w:t>
      </w:r>
      <w:r w:rsidR="00212259" w:rsidRPr="00212259">
        <w:rPr>
          <w:lang w:val="en-CA"/>
        </w:rPr>
        <w:t xml:space="preserve"> balance-of-payments current account is also necessary to provide the foreign exchange required to purchase imported inputs.</w:t>
      </w:r>
      <w:r w:rsidR="00D54714">
        <w:rPr>
          <w:lang w:val="en-CA"/>
        </w:rPr>
        <w:t xml:space="preserve"> </w:t>
      </w:r>
      <w:r w:rsidR="00212259" w:rsidRPr="00212259">
        <w:rPr>
          <w:lang w:val="en-CA"/>
        </w:rPr>
        <w:t xml:space="preserve">However, this is unlikely to be achieved over the medium term, as the current account deficit widened from </w:t>
      </w:r>
      <w:r w:rsidR="00DF0F19">
        <w:rPr>
          <w:lang w:val="en-CA"/>
        </w:rPr>
        <w:t>10</w:t>
      </w:r>
      <w:r w:rsidR="00212259" w:rsidRPr="00212259">
        <w:rPr>
          <w:lang w:val="en-CA"/>
        </w:rPr>
        <w:t>.</w:t>
      </w:r>
      <w:r w:rsidR="00DF0F19">
        <w:rPr>
          <w:lang w:val="en-CA"/>
        </w:rPr>
        <w:t>4</w:t>
      </w:r>
      <w:r w:rsidR="00212259" w:rsidRPr="00212259">
        <w:rPr>
          <w:lang w:val="en-CA"/>
        </w:rPr>
        <w:t xml:space="preserve">% of GDP in 2010 to </w:t>
      </w:r>
      <w:r w:rsidR="00DF0F19">
        <w:rPr>
          <w:lang w:val="en-CA"/>
        </w:rPr>
        <w:t>13</w:t>
      </w:r>
      <w:r w:rsidR="00212259" w:rsidRPr="00212259">
        <w:rPr>
          <w:lang w:val="en-CA"/>
        </w:rPr>
        <w:t>.</w:t>
      </w:r>
      <w:r w:rsidR="00DF0F19">
        <w:rPr>
          <w:lang w:val="en-CA"/>
        </w:rPr>
        <w:t>4</w:t>
      </w:r>
      <w:r w:rsidR="00212259" w:rsidRPr="00212259">
        <w:rPr>
          <w:lang w:val="en-CA"/>
        </w:rPr>
        <w:t>% in 2011</w:t>
      </w:r>
      <w:r w:rsidR="00D54714">
        <w:rPr>
          <w:lang w:val="en-CA"/>
        </w:rPr>
        <w:t xml:space="preserve"> </w:t>
      </w:r>
      <w:r w:rsidR="00212259" w:rsidRPr="00212259">
        <w:rPr>
          <w:lang w:val="en-CA"/>
        </w:rPr>
        <w:t>following a rebound in imports associated with construction projects funded by foreign direct investment (</w:t>
      </w:r>
      <w:proofErr w:type="spellStart"/>
      <w:r w:rsidR="00212259" w:rsidRPr="00212259">
        <w:rPr>
          <w:lang w:val="en-CA"/>
        </w:rPr>
        <w:t>FDI</w:t>
      </w:r>
      <w:proofErr w:type="spellEnd"/>
      <w:r w:rsidR="00212259" w:rsidRPr="00212259">
        <w:rPr>
          <w:lang w:val="en-CA"/>
        </w:rPr>
        <w:t xml:space="preserve">). </w:t>
      </w:r>
    </w:p>
    <w:p w:rsidR="006C00E2" w:rsidRDefault="006C00E2" w:rsidP="00115C57">
      <w:pPr>
        <w:rPr>
          <w:b/>
          <w:lang w:val="en-CA"/>
        </w:rPr>
      </w:pPr>
    </w:p>
    <w:p w:rsidR="00115C57" w:rsidRPr="002A7D77" w:rsidRDefault="00115C57" w:rsidP="00115C57">
      <w:pPr>
        <w:rPr>
          <w:b/>
          <w:lang w:val="en-CA"/>
        </w:rPr>
      </w:pPr>
    </w:p>
    <w:p w:rsidR="006C00E2" w:rsidRPr="002A7D77" w:rsidRDefault="00115C57" w:rsidP="00115C57">
      <w:pPr>
        <w:jc w:val="center"/>
        <w:rPr>
          <w:b/>
          <w:lang w:val="en-CA"/>
        </w:rPr>
      </w:pPr>
      <w:r>
        <w:rPr>
          <w:b/>
          <w:lang w:val="en-CA"/>
        </w:rPr>
        <w:t xml:space="preserve">2. </w:t>
      </w:r>
      <w:r w:rsidR="00212259" w:rsidRPr="00212259">
        <w:rPr>
          <w:b/>
          <w:lang w:val="en-CA"/>
        </w:rPr>
        <w:t>Economic policy</w:t>
      </w:r>
    </w:p>
    <w:p w:rsidR="006C00E2" w:rsidRPr="002A7D77" w:rsidRDefault="006C00E2" w:rsidP="00115C57">
      <w:pPr>
        <w:rPr>
          <w:lang w:val="en-CA"/>
        </w:rPr>
      </w:pPr>
    </w:p>
    <w:p w:rsidR="006C00E2" w:rsidRPr="002A7D77" w:rsidRDefault="00212259" w:rsidP="00115C57">
      <w:pPr>
        <w:numPr>
          <w:ilvl w:val="1"/>
          <w:numId w:val="5"/>
        </w:numPr>
        <w:tabs>
          <w:tab w:val="clear" w:pos="1440"/>
        </w:tabs>
        <w:ind w:left="0" w:firstLine="0"/>
        <w:rPr>
          <w:b/>
          <w:lang w:val="en-CA"/>
        </w:rPr>
      </w:pPr>
      <w:r w:rsidRPr="00212259">
        <w:rPr>
          <w:b/>
          <w:lang w:val="en-CA"/>
        </w:rPr>
        <w:t>Fiscal policy</w:t>
      </w:r>
    </w:p>
    <w:p w:rsidR="008D7373" w:rsidRPr="002A7D77" w:rsidRDefault="008D7373" w:rsidP="00115C57">
      <w:pPr>
        <w:rPr>
          <w:b/>
          <w:lang w:val="en-CA"/>
        </w:rPr>
      </w:pPr>
    </w:p>
    <w:p w:rsidR="00C54995" w:rsidRPr="002A7D77" w:rsidRDefault="00115C57" w:rsidP="00115C57">
      <w:pPr>
        <w:rPr>
          <w:lang w:val="en-CA"/>
        </w:rPr>
      </w:pPr>
      <w:r>
        <w:rPr>
          <w:lang w:val="en-CA"/>
        </w:rPr>
        <w:tab/>
      </w:r>
      <w:r w:rsidR="00212259" w:rsidRPr="00212259">
        <w:rPr>
          <w:lang w:val="en-CA"/>
        </w:rPr>
        <w:t xml:space="preserve">Fiscal policy in 2010/2011 </w:t>
      </w:r>
      <w:r w:rsidR="00DF0F19">
        <w:rPr>
          <w:lang w:val="en-CA"/>
        </w:rPr>
        <w:t xml:space="preserve">(1 July-30 June) </w:t>
      </w:r>
      <w:r w:rsidR="00212259" w:rsidRPr="00212259">
        <w:rPr>
          <w:lang w:val="en-CA"/>
        </w:rPr>
        <w:t>was geared towards facilitating the nascent recovery, while starting the process of consolidation to contain growth in public debt.</w:t>
      </w:r>
      <w:r w:rsidR="00D54714">
        <w:rPr>
          <w:lang w:val="en-CA"/>
        </w:rPr>
        <w:t xml:space="preserve"> </w:t>
      </w:r>
      <w:r w:rsidR="00212259" w:rsidRPr="00212259">
        <w:rPr>
          <w:lang w:val="en-CA"/>
        </w:rPr>
        <w:t xml:space="preserve">Government infrastructure works were complemented by a job training programme to boost activity. A new tax division was established to strengthen revenue collections, but this did not have any immediate impact. </w:t>
      </w:r>
    </w:p>
    <w:p w:rsidR="00B740E8" w:rsidRPr="002A7D77" w:rsidRDefault="00B740E8" w:rsidP="00115C57">
      <w:pPr>
        <w:rPr>
          <w:lang w:val="en-CA"/>
        </w:rPr>
      </w:pPr>
    </w:p>
    <w:p w:rsidR="00C54995" w:rsidRPr="002A7D77" w:rsidRDefault="00D54714" w:rsidP="00115C57">
      <w:pPr>
        <w:rPr>
          <w:lang w:val="en-CA"/>
        </w:rPr>
      </w:pPr>
      <w:r>
        <w:rPr>
          <w:lang w:val="en-CA"/>
        </w:rPr>
        <w:tab/>
      </w:r>
      <w:r w:rsidR="00212259" w:rsidRPr="00212259">
        <w:rPr>
          <w:lang w:val="en-CA"/>
        </w:rPr>
        <w:t>The fiscal deficit widened marginally from 4.4% of GDP in fiscal year 2009/2010 to 4.7% of GDP in fiscal year 2010/2011. In nominal terms, the deficit was more than 50% higher than the budgeted target.</w:t>
      </w:r>
      <w:r>
        <w:rPr>
          <w:lang w:val="en-CA"/>
        </w:rPr>
        <w:t xml:space="preserve"> </w:t>
      </w:r>
      <w:r w:rsidR="00212259" w:rsidRPr="00212259">
        <w:rPr>
          <w:lang w:val="en-CA"/>
        </w:rPr>
        <w:t>Revenues expanded by 10% to 17.7% of GDP, boosted by the proceeds from the one-off sale of a 51% shareholding in the Bahamas Telecommunications Company (</w:t>
      </w:r>
      <w:proofErr w:type="spellStart"/>
      <w:r w:rsidR="00212259" w:rsidRPr="00212259">
        <w:rPr>
          <w:lang w:val="en-CA"/>
        </w:rPr>
        <w:t>BTC</w:t>
      </w:r>
      <w:proofErr w:type="spellEnd"/>
      <w:r w:rsidR="00212259" w:rsidRPr="00212259">
        <w:rPr>
          <w:lang w:val="en-CA"/>
        </w:rPr>
        <w:t>).</w:t>
      </w:r>
      <w:r>
        <w:rPr>
          <w:lang w:val="en-CA"/>
        </w:rPr>
        <w:t xml:space="preserve"> </w:t>
      </w:r>
      <w:r w:rsidR="00212259" w:rsidRPr="00212259">
        <w:rPr>
          <w:lang w:val="en-CA"/>
        </w:rPr>
        <w:t>However, the improved revenue was offset by a substantial nominal rise in expenditure to 22.9% of GDP.</w:t>
      </w:r>
      <w:r>
        <w:rPr>
          <w:lang w:val="en-CA"/>
        </w:rPr>
        <w:t xml:space="preserve"> </w:t>
      </w:r>
      <w:r w:rsidR="00212259" w:rsidRPr="00212259">
        <w:rPr>
          <w:lang w:val="en-CA"/>
        </w:rPr>
        <w:t xml:space="preserve">Current expenditure reflected a sharp increase in payments for goods and services and higher debt interest payments as government borrowing mounted. Growth in capital expenditure more than doubled with major investments in road infrastructure and in the airport expansion project. </w:t>
      </w:r>
    </w:p>
    <w:p w:rsidR="007D7FAE" w:rsidRPr="002A7D77" w:rsidRDefault="007D7FAE" w:rsidP="00115C57">
      <w:pPr>
        <w:rPr>
          <w:lang w:val="en-CA"/>
        </w:rPr>
      </w:pPr>
    </w:p>
    <w:p w:rsidR="007D7FAE" w:rsidRPr="002A7D77" w:rsidRDefault="00D54714" w:rsidP="00115C57">
      <w:pPr>
        <w:rPr>
          <w:lang w:val="en-CA"/>
        </w:rPr>
      </w:pPr>
      <w:r>
        <w:rPr>
          <w:lang w:val="en-CA"/>
        </w:rPr>
        <w:tab/>
      </w:r>
      <w:r w:rsidR="00212259" w:rsidRPr="00212259">
        <w:rPr>
          <w:lang w:val="en-CA"/>
        </w:rPr>
        <w:t>For the first half of fiscal year 2011/2012, the overall deficit fell from 2.7% to 0.6% of GDP. This favourable result stemmed from higher tax proceeds associated with increased excise taxes following the payment of outstanding taxes by a public corporation.</w:t>
      </w:r>
      <w:r>
        <w:rPr>
          <w:lang w:val="en-CA"/>
        </w:rPr>
        <w:t xml:space="preserve"> </w:t>
      </w:r>
      <w:r w:rsidR="00212259" w:rsidRPr="00212259">
        <w:rPr>
          <w:lang w:val="en-CA"/>
        </w:rPr>
        <w:t>Selected taxes on services also picked up with the modest recovery in the tourism sector. As a result, the additional revenue more than offset the higher government spending.</w:t>
      </w:r>
      <w:r>
        <w:rPr>
          <w:lang w:val="en-CA"/>
        </w:rPr>
        <w:t xml:space="preserve"> </w:t>
      </w:r>
      <w:r w:rsidR="00212259" w:rsidRPr="00212259">
        <w:rPr>
          <w:lang w:val="en-CA"/>
        </w:rPr>
        <w:t xml:space="preserve">Public-sector debt, including public corporations, increased by 2.3% in nominal terms, but in GDP terms represented 60.2% in 2011, down from 61.8% in 2010. </w:t>
      </w:r>
    </w:p>
    <w:p w:rsidR="00FB3470" w:rsidRPr="002A7D77" w:rsidRDefault="00FB3470" w:rsidP="00115C57">
      <w:pPr>
        <w:rPr>
          <w:lang w:val="en-CA"/>
        </w:rPr>
      </w:pPr>
    </w:p>
    <w:p w:rsidR="006C00E2" w:rsidRPr="002A7D77" w:rsidRDefault="00212259" w:rsidP="00115C57">
      <w:pPr>
        <w:numPr>
          <w:ilvl w:val="1"/>
          <w:numId w:val="5"/>
        </w:numPr>
        <w:tabs>
          <w:tab w:val="clear" w:pos="1440"/>
        </w:tabs>
        <w:ind w:left="0" w:firstLine="0"/>
        <w:rPr>
          <w:b/>
          <w:lang w:val="en-CA"/>
        </w:rPr>
      </w:pPr>
      <w:r w:rsidRPr="00212259">
        <w:rPr>
          <w:b/>
          <w:lang w:val="en-CA"/>
        </w:rPr>
        <w:t>Monetary and exchange-rate policy</w:t>
      </w:r>
    </w:p>
    <w:p w:rsidR="006C00E2" w:rsidRPr="002A7D77" w:rsidRDefault="006C00E2" w:rsidP="00115C57">
      <w:pPr>
        <w:rPr>
          <w:b/>
          <w:lang w:val="en-CA"/>
        </w:rPr>
      </w:pPr>
    </w:p>
    <w:p w:rsidR="00E35827" w:rsidRPr="002A7D77" w:rsidRDefault="00D54714" w:rsidP="00115C57">
      <w:pPr>
        <w:rPr>
          <w:lang w:val="en-CA"/>
        </w:rPr>
      </w:pPr>
      <w:r>
        <w:rPr>
          <w:lang w:val="en-CA"/>
        </w:rPr>
        <w:tab/>
      </w:r>
      <w:r w:rsidR="00212259" w:rsidRPr="00212259">
        <w:rPr>
          <w:lang w:val="en-CA"/>
        </w:rPr>
        <w:t xml:space="preserve">Monetary policy in 2011 was aimed at stimulating the recovery in activity and employment, while maintaining the integrity of the pegged exchange rate. In an effort to stimulate private-sector credit demand to facilitate the recovery, the central bank eased its monetary policy stance. In 2011, it lowered its policy-based discount rate by 75 basis points to encourage the commercial banks to reduce their lending </w:t>
      </w:r>
      <w:r w:rsidR="00212259" w:rsidRPr="00212259">
        <w:rPr>
          <w:lang w:val="en-CA"/>
        </w:rPr>
        <w:lastRenderedPageBreak/>
        <w:t>rates.</w:t>
      </w:r>
      <w:r>
        <w:rPr>
          <w:lang w:val="en-CA"/>
        </w:rPr>
        <w:t xml:space="preserve"> </w:t>
      </w:r>
      <w:r w:rsidR="00212259" w:rsidRPr="00212259">
        <w:rPr>
          <w:lang w:val="en-CA"/>
        </w:rPr>
        <w:t>Reflecting an efficient transmission, there was a corresponding dec</w:t>
      </w:r>
      <w:r w:rsidR="00371EE8">
        <w:rPr>
          <w:lang w:val="en-CA"/>
        </w:rPr>
        <w:t>line in the prime rate and a 70 </w:t>
      </w:r>
      <w:r w:rsidR="00212259" w:rsidRPr="00212259">
        <w:rPr>
          <w:lang w:val="en-CA"/>
        </w:rPr>
        <w:t>basis-point reduction in the weighted average lending rate to 10.98%.</w:t>
      </w:r>
      <w:r>
        <w:rPr>
          <w:lang w:val="en-CA"/>
        </w:rPr>
        <w:t xml:space="preserve"> </w:t>
      </w:r>
      <w:r w:rsidR="00212259" w:rsidRPr="00212259">
        <w:rPr>
          <w:lang w:val="en-CA"/>
        </w:rPr>
        <w:t>Nevertheless, with high excess liquidity in the banking system, the fall in lending rates was accompanied by a steeper fall in the weighted average deposit rate (80 basis points), which led to a widening of the interest-rate spread.</w:t>
      </w:r>
      <w:r>
        <w:rPr>
          <w:lang w:val="en-CA"/>
        </w:rPr>
        <w:t xml:space="preserve"> </w:t>
      </w:r>
    </w:p>
    <w:p w:rsidR="00E35827" w:rsidRPr="002A7D77" w:rsidRDefault="00E35827" w:rsidP="00115C57">
      <w:pPr>
        <w:rPr>
          <w:lang w:val="en-CA"/>
        </w:rPr>
      </w:pPr>
    </w:p>
    <w:p w:rsidR="00BC56BB" w:rsidRPr="002A7D77" w:rsidRDefault="00D54714" w:rsidP="00115C57">
      <w:pPr>
        <w:rPr>
          <w:lang w:val="en-CA"/>
        </w:rPr>
      </w:pPr>
      <w:r>
        <w:rPr>
          <w:lang w:val="en-CA"/>
        </w:rPr>
        <w:tab/>
      </w:r>
      <w:r w:rsidR="00212259" w:rsidRPr="00212259">
        <w:rPr>
          <w:lang w:val="en-CA"/>
        </w:rPr>
        <w:t>Credit to the private sector recovered slightly (by 1.1%) as investor confidence improved marginally with the modest recovery in activity. Both commercial and consumer credit rallied after declining in 2010.</w:t>
      </w:r>
      <w:r>
        <w:rPr>
          <w:lang w:val="en-CA"/>
        </w:rPr>
        <w:t xml:space="preserve"> </w:t>
      </w:r>
      <w:r w:rsidR="00212259" w:rsidRPr="00212259">
        <w:rPr>
          <w:lang w:val="en-CA"/>
        </w:rPr>
        <w:t>Credit to productive activities in entertainment and catering, and manufacturing also strengthened during the year. However, growth in mortgages, the largest component of the loan portfolio, slowed sharply.</w:t>
      </w:r>
      <w:r>
        <w:rPr>
          <w:lang w:val="en-CA"/>
        </w:rPr>
        <w:t xml:space="preserve"> </w:t>
      </w:r>
      <w:r w:rsidR="00212259" w:rsidRPr="00212259">
        <w:rPr>
          <w:lang w:val="en-CA"/>
        </w:rPr>
        <w:t>Debt consolidation loans expanded by 16% as banks continued to work with borrowers to better manage their debt.</w:t>
      </w:r>
    </w:p>
    <w:p w:rsidR="00A21629" w:rsidRPr="002A7D77" w:rsidRDefault="00A21629" w:rsidP="00115C57">
      <w:pPr>
        <w:rPr>
          <w:lang w:val="en-CA"/>
        </w:rPr>
      </w:pPr>
    </w:p>
    <w:p w:rsidR="0066648A" w:rsidRPr="002A7D77" w:rsidRDefault="00D54714" w:rsidP="00115C57">
      <w:pPr>
        <w:rPr>
          <w:lang w:val="en-CA"/>
        </w:rPr>
      </w:pPr>
      <w:r>
        <w:rPr>
          <w:lang w:val="en-CA"/>
        </w:rPr>
        <w:tab/>
      </w:r>
      <w:r w:rsidR="00212259" w:rsidRPr="00212259">
        <w:rPr>
          <w:lang w:val="en-CA"/>
        </w:rPr>
        <w:t>Although banks</w:t>
      </w:r>
      <w:r w:rsidR="0053378D">
        <w:rPr>
          <w:lang w:val="en-CA"/>
        </w:rPr>
        <w:t>’</w:t>
      </w:r>
      <w:r w:rsidR="00212259" w:rsidRPr="00212259">
        <w:rPr>
          <w:lang w:val="en-CA"/>
        </w:rPr>
        <w:t xml:space="preserve"> capital adequacy remains sound, non-pe</w:t>
      </w:r>
      <w:r w:rsidR="00371EE8">
        <w:rPr>
          <w:lang w:val="en-CA"/>
        </w:rPr>
        <w:t>rforming loans increased by 0.9 </w:t>
      </w:r>
      <w:r w:rsidR="00212259" w:rsidRPr="00212259">
        <w:rPr>
          <w:lang w:val="en-CA"/>
        </w:rPr>
        <w:t>percentage points to 13% of total loans at the end of the year, remaining a concern. Arrears on mortgages accounted for the bulk of these non-performing loans. With past debt overhang, borrowers continued to have difficulties in servicing their loans, despite the modest rebound in activity.</w:t>
      </w:r>
    </w:p>
    <w:p w:rsidR="00D46174" w:rsidRDefault="00D46174" w:rsidP="00115C57">
      <w:pPr>
        <w:rPr>
          <w:lang w:val="en-CA"/>
        </w:rPr>
      </w:pPr>
    </w:p>
    <w:p w:rsidR="00D54714" w:rsidRPr="002A7D77" w:rsidRDefault="00D54714" w:rsidP="00115C57">
      <w:pPr>
        <w:rPr>
          <w:lang w:val="en-CA"/>
        </w:rPr>
      </w:pPr>
    </w:p>
    <w:p w:rsidR="006C00E2" w:rsidRPr="002A7D77" w:rsidRDefault="00D54714" w:rsidP="00D54714">
      <w:pPr>
        <w:jc w:val="center"/>
        <w:rPr>
          <w:b/>
          <w:lang w:val="en-CA"/>
        </w:rPr>
      </w:pPr>
      <w:r>
        <w:rPr>
          <w:b/>
          <w:lang w:val="en-CA"/>
        </w:rPr>
        <w:t xml:space="preserve">3. </w:t>
      </w:r>
      <w:r w:rsidR="00212259" w:rsidRPr="00212259">
        <w:rPr>
          <w:b/>
          <w:lang w:val="en-CA"/>
        </w:rPr>
        <w:t>The main variables</w:t>
      </w:r>
    </w:p>
    <w:p w:rsidR="006C00E2" w:rsidRPr="002A7D77" w:rsidRDefault="006C00E2" w:rsidP="00115C57">
      <w:pPr>
        <w:rPr>
          <w:lang w:val="en-CA"/>
        </w:rPr>
      </w:pPr>
    </w:p>
    <w:p w:rsidR="006C00E2" w:rsidRPr="002A7D77" w:rsidRDefault="00212259" w:rsidP="00115C57">
      <w:pPr>
        <w:numPr>
          <w:ilvl w:val="1"/>
          <w:numId w:val="3"/>
        </w:numPr>
        <w:tabs>
          <w:tab w:val="clear" w:pos="1440"/>
        </w:tabs>
        <w:ind w:left="0" w:firstLine="0"/>
        <w:rPr>
          <w:b/>
          <w:lang w:val="en-CA"/>
        </w:rPr>
      </w:pPr>
      <w:r w:rsidRPr="00212259">
        <w:rPr>
          <w:b/>
          <w:lang w:val="en-CA"/>
        </w:rPr>
        <w:t>Economic activity</w:t>
      </w:r>
    </w:p>
    <w:p w:rsidR="00557647" w:rsidRPr="002A7D77" w:rsidRDefault="00557647" w:rsidP="00D54714">
      <w:pPr>
        <w:rPr>
          <w:lang w:val="en-CA"/>
        </w:rPr>
      </w:pPr>
    </w:p>
    <w:p w:rsidR="00A1084B" w:rsidRPr="002A7D77" w:rsidRDefault="00D54714" w:rsidP="00115C57">
      <w:pPr>
        <w:rPr>
          <w:lang w:val="en-CA"/>
        </w:rPr>
      </w:pPr>
      <w:r>
        <w:rPr>
          <w:lang w:val="en-CA"/>
        </w:rPr>
        <w:tab/>
      </w:r>
      <w:r w:rsidR="00212259" w:rsidRPr="00212259">
        <w:rPr>
          <w:lang w:val="en-CA"/>
        </w:rPr>
        <w:t>The nascent recovery in the United States contributed to</w:t>
      </w:r>
      <w:r>
        <w:rPr>
          <w:lang w:val="en-CA"/>
        </w:rPr>
        <w:t xml:space="preserve"> </w:t>
      </w:r>
      <w:r w:rsidR="00212259" w:rsidRPr="00212259">
        <w:rPr>
          <w:lang w:val="en-CA"/>
        </w:rPr>
        <w:t>the upturn in the Bahamas in 2011.</w:t>
      </w:r>
      <w:r>
        <w:rPr>
          <w:lang w:val="en-CA"/>
        </w:rPr>
        <w:t xml:space="preserve"> </w:t>
      </w:r>
      <w:r w:rsidR="00212259" w:rsidRPr="00212259">
        <w:rPr>
          <w:lang w:val="en-CA"/>
        </w:rPr>
        <w:t>Real GDP grew by 1.6%, following 0.2% growth in 2010. The revival in activity was driven by improved tourism and construction activity. Value added in the hotel and restaurants sub-sector, a proxy for tourism, increased by 7.3% in 2011, compared with 0.8% in 2010. Tourist arrivals were up by 6.4% in 2011, led by a 9.2% growth in cruise ship visitors.</w:t>
      </w:r>
      <w:r>
        <w:rPr>
          <w:lang w:val="en-CA"/>
        </w:rPr>
        <w:t xml:space="preserve"> </w:t>
      </w:r>
      <w:r w:rsidR="00212259" w:rsidRPr="00212259">
        <w:rPr>
          <w:lang w:val="en-CA"/>
        </w:rPr>
        <w:t>This helped to offset the 1.9% decline in the number of high value-added stopover arrivals. Room revenues improved by 2.8% in line with a 2.5 % increase in average occupancy rates to 54% and a 2.7% rise in the average daily room rate to US$ 102.</w:t>
      </w:r>
    </w:p>
    <w:p w:rsidR="002948FC" w:rsidRPr="002A7D77" w:rsidRDefault="002948FC" w:rsidP="00115C57">
      <w:pPr>
        <w:rPr>
          <w:lang w:val="en-CA"/>
        </w:rPr>
      </w:pPr>
    </w:p>
    <w:p w:rsidR="00A1084B" w:rsidRPr="002A7D77" w:rsidRDefault="00D54714" w:rsidP="00115C57">
      <w:pPr>
        <w:rPr>
          <w:lang w:val="en-CA"/>
        </w:rPr>
      </w:pPr>
      <w:r>
        <w:rPr>
          <w:lang w:val="en-CA"/>
        </w:rPr>
        <w:tab/>
      </w:r>
      <w:r w:rsidR="00212259" w:rsidRPr="00212259">
        <w:rPr>
          <w:lang w:val="en-CA"/>
        </w:rPr>
        <w:t xml:space="preserve">Construction activity picked up with a strong impetus from </w:t>
      </w:r>
      <w:proofErr w:type="spellStart"/>
      <w:r w:rsidR="00212259" w:rsidRPr="00212259">
        <w:rPr>
          <w:lang w:val="en-CA"/>
        </w:rPr>
        <w:t>FDI</w:t>
      </w:r>
      <w:proofErr w:type="spellEnd"/>
      <w:r w:rsidR="00212259" w:rsidRPr="00212259">
        <w:rPr>
          <w:lang w:val="en-CA"/>
        </w:rPr>
        <w:t xml:space="preserve">-financed tourism projects led by the signature </w:t>
      </w:r>
      <w:proofErr w:type="spellStart"/>
      <w:r w:rsidR="00212259" w:rsidRPr="00212259">
        <w:rPr>
          <w:lang w:val="en-CA"/>
        </w:rPr>
        <w:t>Baha</w:t>
      </w:r>
      <w:proofErr w:type="spellEnd"/>
      <w:r w:rsidR="00212259" w:rsidRPr="00212259">
        <w:rPr>
          <w:lang w:val="en-CA"/>
        </w:rPr>
        <w:t xml:space="preserve"> Mar Resort facility.</w:t>
      </w:r>
      <w:r>
        <w:rPr>
          <w:lang w:val="en-CA"/>
        </w:rPr>
        <w:t xml:space="preserve"> </w:t>
      </w:r>
      <w:r w:rsidR="00212259" w:rsidRPr="00212259">
        <w:rPr>
          <w:lang w:val="en-CA"/>
        </w:rPr>
        <w:t>This activity was complemented by government road construction and the airport expansion project.</w:t>
      </w:r>
      <w:r>
        <w:rPr>
          <w:lang w:val="en-CA"/>
        </w:rPr>
        <w:t xml:space="preserve"> </w:t>
      </w:r>
      <w:r w:rsidR="00212259" w:rsidRPr="00212259">
        <w:rPr>
          <w:lang w:val="en-CA"/>
        </w:rPr>
        <w:t>Meanwhile, there was a marginal rally in activity in the offshore financial services sector, reflecting improved investor confidence in the sector. The sector has been undergoing a branding process to focus on its core comparative advantage and this is expected to contribute to its future competitiveness.</w:t>
      </w:r>
      <w:r>
        <w:rPr>
          <w:lang w:val="en-CA"/>
        </w:rPr>
        <w:t xml:space="preserve"> </w:t>
      </w:r>
      <w:r w:rsidR="00212259" w:rsidRPr="00212259">
        <w:rPr>
          <w:lang w:val="en-CA"/>
        </w:rPr>
        <w:t>Associated in part with the stronger tourism figures, value added in wholesale and retail trade, and transportation increased by 9.7% and 6.8%, respectively.</w:t>
      </w:r>
      <w:r>
        <w:rPr>
          <w:lang w:val="en-CA"/>
        </w:rPr>
        <w:t xml:space="preserve"> </w:t>
      </w:r>
      <w:r w:rsidR="00212259" w:rsidRPr="00212259">
        <w:rPr>
          <w:lang w:val="en-CA"/>
        </w:rPr>
        <w:t>Meanwhile, activity in real estate and commerce was down by 4.1%, dampened by the continued fall-out in the real-estate market.</w:t>
      </w:r>
    </w:p>
    <w:p w:rsidR="00961929" w:rsidRPr="002A7D77" w:rsidRDefault="00961929" w:rsidP="00D54714">
      <w:pPr>
        <w:rPr>
          <w:lang w:val="en-CA"/>
        </w:rPr>
      </w:pPr>
    </w:p>
    <w:p w:rsidR="006C00E2" w:rsidRPr="002A7D77" w:rsidRDefault="00212259" w:rsidP="00115C57">
      <w:pPr>
        <w:numPr>
          <w:ilvl w:val="1"/>
          <w:numId w:val="3"/>
        </w:numPr>
        <w:tabs>
          <w:tab w:val="clear" w:pos="1440"/>
        </w:tabs>
        <w:ind w:left="0" w:firstLine="0"/>
        <w:rPr>
          <w:b/>
          <w:lang w:val="en-CA"/>
        </w:rPr>
      </w:pPr>
      <w:r w:rsidRPr="00212259">
        <w:rPr>
          <w:b/>
          <w:lang w:val="en-CA"/>
        </w:rPr>
        <w:t>Prices, wages and employment</w:t>
      </w:r>
    </w:p>
    <w:p w:rsidR="00FE66DD" w:rsidRPr="002A7D77" w:rsidRDefault="00FE66DD" w:rsidP="00D54714">
      <w:pPr>
        <w:rPr>
          <w:lang w:val="en-CA"/>
        </w:rPr>
      </w:pPr>
    </w:p>
    <w:p w:rsidR="00665358" w:rsidRPr="002A7D77" w:rsidRDefault="00D54714" w:rsidP="00115C57">
      <w:pPr>
        <w:rPr>
          <w:lang w:val="en-CA"/>
        </w:rPr>
      </w:pPr>
      <w:r>
        <w:rPr>
          <w:lang w:val="en-CA"/>
        </w:rPr>
        <w:tab/>
      </w:r>
      <w:r w:rsidR="00212259" w:rsidRPr="00212259">
        <w:rPr>
          <w:lang w:val="en-CA"/>
        </w:rPr>
        <w:t>Higher international fuel and food prices and stronger domestic demand pushed up inflation from 1.4% in 2010 (December-December), to 3.2% in 2011.</w:t>
      </w:r>
      <w:r>
        <w:rPr>
          <w:lang w:val="en-CA"/>
        </w:rPr>
        <w:t xml:space="preserve"> </w:t>
      </w:r>
      <w:r w:rsidR="00212259" w:rsidRPr="00212259">
        <w:rPr>
          <w:lang w:val="en-CA"/>
        </w:rPr>
        <w:t>Gasoline and diesel prices increased by 17.2% and 33.2%, respectively.</w:t>
      </w:r>
      <w:r>
        <w:rPr>
          <w:lang w:val="en-CA"/>
        </w:rPr>
        <w:t xml:space="preserve"> </w:t>
      </w:r>
      <w:r w:rsidR="00212259" w:rsidRPr="00212259">
        <w:rPr>
          <w:lang w:val="en-CA"/>
        </w:rPr>
        <w:t>Food and beverage prices rose by 3.1%, after declining by 0.8% in 2010. Transportation costs rose sharply from 3.1% in 2010 to 7.9% in 2011.</w:t>
      </w:r>
      <w:r>
        <w:rPr>
          <w:lang w:val="en-CA"/>
        </w:rPr>
        <w:t xml:space="preserve"> </w:t>
      </w:r>
      <w:r w:rsidR="00212259" w:rsidRPr="00212259">
        <w:rPr>
          <w:lang w:val="en-CA"/>
        </w:rPr>
        <w:t>Meanwhile, the recovery in tourism was reflected in higher costs (3.9%) in hotels and restaurants.</w:t>
      </w:r>
    </w:p>
    <w:p w:rsidR="00371EE8" w:rsidRDefault="00371EE8">
      <w:pPr>
        <w:jc w:val="left"/>
        <w:rPr>
          <w:lang w:val="en-CA"/>
        </w:rPr>
      </w:pPr>
      <w:r>
        <w:rPr>
          <w:lang w:val="en-CA"/>
        </w:rPr>
        <w:br w:type="page"/>
      </w:r>
    </w:p>
    <w:p w:rsidR="00665358" w:rsidRPr="002A7D77" w:rsidRDefault="00D54714" w:rsidP="00115C57">
      <w:pPr>
        <w:rPr>
          <w:lang w:val="en-CA"/>
        </w:rPr>
      </w:pPr>
      <w:r>
        <w:rPr>
          <w:lang w:val="en-CA"/>
        </w:rPr>
        <w:tab/>
      </w:r>
      <w:r w:rsidR="00212259" w:rsidRPr="00212259">
        <w:rPr>
          <w:lang w:val="en-CA"/>
        </w:rPr>
        <w:t>Despite the brisker activity, job growth did not keep pace, as the rate of unemployment increased from 13.7% in May to 15.9% in November 2011.</w:t>
      </w:r>
      <w:r>
        <w:rPr>
          <w:lang w:val="en-CA"/>
        </w:rPr>
        <w:t xml:space="preserve"> </w:t>
      </w:r>
      <w:r w:rsidR="00212259" w:rsidRPr="00212259">
        <w:rPr>
          <w:lang w:val="en-CA"/>
        </w:rPr>
        <w:t xml:space="preserve">Higher unemployment was the result of a number of </w:t>
      </w:r>
      <w:r w:rsidR="00212259" w:rsidRPr="00212259">
        <w:rPr>
          <w:lang w:val="en-CA"/>
        </w:rPr>
        <w:lastRenderedPageBreak/>
        <w:t>former self-employed and informal-sector workers becoming unemployed and the entry into the workforce of high-school and university graduates.</w:t>
      </w:r>
      <w:r>
        <w:rPr>
          <w:lang w:val="en-CA"/>
        </w:rPr>
        <w:t xml:space="preserve"> </w:t>
      </w:r>
      <w:r w:rsidR="00212259" w:rsidRPr="00212259">
        <w:rPr>
          <w:lang w:val="en-CA"/>
        </w:rPr>
        <w:t>Wages were expected to pick up with the lifting of the freeze imposed in 2010 on public sector wages.</w:t>
      </w:r>
      <w:r>
        <w:rPr>
          <w:lang w:val="en-CA"/>
        </w:rPr>
        <w:t xml:space="preserve"> </w:t>
      </w:r>
    </w:p>
    <w:p w:rsidR="00BD34B5" w:rsidRPr="002A7D77" w:rsidRDefault="00BD34B5" w:rsidP="00115C57">
      <w:pPr>
        <w:rPr>
          <w:lang w:val="en-CA"/>
        </w:rPr>
      </w:pPr>
    </w:p>
    <w:p w:rsidR="006C00E2" w:rsidRPr="002A7D77" w:rsidRDefault="00212259" w:rsidP="00115C57">
      <w:pPr>
        <w:numPr>
          <w:ilvl w:val="1"/>
          <w:numId w:val="3"/>
        </w:numPr>
        <w:tabs>
          <w:tab w:val="clear" w:pos="1440"/>
        </w:tabs>
        <w:ind w:left="0" w:firstLine="0"/>
        <w:rPr>
          <w:b/>
          <w:lang w:val="en-CA"/>
        </w:rPr>
      </w:pPr>
      <w:r w:rsidRPr="00212259">
        <w:rPr>
          <w:b/>
          <w:lang w:val="en-CA"/>
        </w:rPr>
        <w:t>The external sector</w:t>
      </w:r>
    </w:p>
    <w:p w:rsidR="006C00E2" w:rsidRPr="002A7D77" w:rsidRDefault="006C00E2" w:rsidP="00115C57">
      <w:pPr>
        <w:rPr>
          <w:b/>
          <w:lang w:val="en-CA"/>
        </w:rPr>
      </w:pPr>
    </w:p>
    <w:p w:rsidR="002577A4" w:rsidRPr="002A7D77" w:rsidRDefault="00D54714" w:rsidP="00115C57">
      <w:pPr>
        <w:rPr>
          <w:lang w:val="en-CA"/>
        </w:rPr>
      </w:pPr>
      <w:r>
        <w:rPr>
          <w:lang w:val="en-CA"/>
        </w:rPr>
        <w:tab/>
      </w:r>
      <w:r w:rsidR="00212259" w:rsidRPr="00212259">
        <w:rPr>
          <w:lang w:val="en-CA"/>
        </w:rPr>
        <w:t>The balance-of-payments current account deficit widened from 10.</w:t>
      </w:r>
      <w:r w:rsidR="00DF0F19">
        <w:rPr>
          <w:lang w:val="en-CA"/>
        </w:rPr>
        <w:t>4</w:t>
      </w:r>
      <w:r w:rsidR="00212259" w:rsidRPr="00212259">
        <w:rPr>
          <w:lang w:val="en-CA"/>
        </w:rPr>
        <w:t>% of GDP in 2010 to 13.</w:t>
      </w:r>
      <w:r w:rsidR="00DF0F19">
        <w:rPr>
          <w:lang w:val="en-CA"/>
        </w:rPr>
        <w:t>4</w:t>
      </w:r>
      <w:r w:rsidR="00212259" w:rsidRPr="00212259">
        <w:rPr>
          <w:lang w:val="en-CA"/>
        </w:rPr>
        <w:t xml:space="preserve">% of GDP in 2011. The weakened current account reflects a rebound in imports, especially for tourism-related construction, following import compression in 2010. As a result, the merchandise deficit expanded by </w:t>
      </w:r>
      <w:r w:rsidR="00DF0F19">
        <w:rPr>
          <w:lang w:val="en-CA"/>
        </w:rPr>
        <w:t>8</w:t>
      </w:r>
      <w:r w:rsidR="00212259" w:rsidRPr="00212259">
        <w:rPr>
          <w:lang w:val="en-CA"/>
        </w:rPr>
        <w:t>.</w:t>
      </w:r>
      <w:r w:rsidR="00DF0F19">
        <w:rPr>
          <w:lang w:val="en-CA"/>
        </w:rPr>
        <w:t>1</w:t>
      </w:r>
      <w:r w:rsidR="00212259" w:rsidRPr="00212259">
        <w:rPr>
          <w:lang w:val="en-CA"/>
        </w:rPr>
        <w:t>%, while the services account remained relatively stable, as the 4.6% improvement in travel receipts, due to higher tourism receipts, was outstripped by higher payments for insurance and other services. The deficit on the income account increased marginally, as higher labour income remittance outflows just offset the decline in investment income outflows.</w:t>
      </w:r>
      <w:r>
        <w:rPr>
          <w:lang w:val="en-CA"/>
        </w:rPr>
        <w:t xml:space="preserve"> </w:t>
      </w:r>
      <w:r w:rsidR="00212259" w:rsidRPr="00212259">
        <w:rPr>
          <w:lang w:val="en-CA"/>
        </w:rPr>
        <w:t>Net outflows of current transfers expanded sharply owing to higher worker remittance payments and government transfers.</w:t>
      </w:r>
    </w:p>
    <w:p w:rsidR="002577A4" w:rsidRPr="002A7D77" w:rsidRDefault="002577A4" w:rsidP="00115C57">
      <w:pPr>
        <w:rPr>
          <w:lang w:val="en-CA"/>
        </w:rPr>
      </w:pPr>
    </w:p>
    <w:p w:rsidR="00DE09F0" w:rsidRDefault="00D54714" w:rsidP="00115C57">
      <w:pPr>
        <w:rPr>
          <w:lang w:val="en-CA"/>
        </w:rPr>
      </w:pPr>
      <w:r>
        <w:rPr>
          <w:lang w:val="en-CA"/>
        </w:rPr>
        <w:tab/>
      </w:r>
      <w:r w:rsidR="00212259" w:rsidRPr="00212259">
        <w:rPr>
          <w:lang w:val="en-CA"/>
        </w:rPr>
        <w:t>The capital and financial account surplus diminished by 16.5% to stand at US$ 953.2 million following a</w:t>
      </w:r>
      <w:r>
        <w:rPr>
          <w:lang w:val="en-CA"/>
        </w:rPr>
        <w:t xml:space="preserve"> </w:t>
      </w:r>
      <w:r w:rsidR="00212259" w:rsidRPr="00212259">
        <w:rPr>
          <w:lang w:val="en-CA"/>
        </w:rPr>
        <w:t>23.6%</w:t>
      </w:r>
      <w:r>
        <w:rPr>
          <w:lang w:val="en-CA"/>
        </w:rPr>
        <w:t xml:space="preserve"> </w:t>
      </w:r>
      <w:r w:rsidR="00212259" w:rsidRPr="00212259">
        <w:rPr>
          <w:lang w:val="en-CA"/>
        </w:rPr>
        <w:t xml:space="preserve">contraction in </w:t>
      </w:r>
      <w:proofErr w:type="spellStart"/>
      <w:r w:rsidR="00212259" w:rsidRPr="00212259">
        <w:rPr>
          <w:lang w:val="en-CA"/>
        </w:rPr>
        <w:t>FDI</w:t>
      </w:r>
      <w:proofErr w:type="spellEnd"/>
      <w:r w:rsidR="00212259" w:rsidRPr="00212259">
        <w:rPr>
          <w:lang w:val="en-CA"/>
        </w:rPr>
        <w:t xml:space="preserve"> inflows </w:t>
      </w:r>
      <w:proofErr w:type="spellStart"/>
      <w:r w:rsidR="00212259" w:rsidRPr="00212259">
        <w:rPr>
          <w:lang w:val="en-CA"/>
        </w:rPr>
        <w:t>FDI</w:t>
      </w:r>
      <w:proofErr w:type="spellEnd"/>
      <w:r w:rsidR="00212259" w:rsidRPr="00212259">
        <w:rPr>
          <w:lang w:val="en-CA"/>
        </w:rPr>
        <w:t xml:space="preserve"> inflows reverted closer to trend levels, after being bolstered by a large one-off transaction of US$ 200 million by a foreign bank for the capitalisation of a local subsidiary.</w:t>
      </w:r>
      <w:r>
        <w:rPr>
          <w:lang w:val="en-CA"/>
        </w:rPr>
        <w:t xml:space="preserve"> </w:t>
      </w:r>
      <w:r w:rsidR="00212259" w:rsidRPr="00212259">
        <w:rPr>
          <w:lang w:val="en-CA"/>
        </w:rPr>
        <w:t xml:space="preserve">Thus, higher inflows for hotel construction could not make up for the sharp fall in bank equity inflows in 2011. Nevertheless, a substantial increase in project loan financing boosted </w:t>
      </w:r>
      <w:r w:rsidR="0053378D">
        <w:rPr>
          <w:lang w:val="en-CA"/>
        </w:rPr>
        <w:t>“</w:t>
      </w:r>
      <w:r w:rsidR="00212259" w:rsidRPr="00212259">
        <w:rPr>
          <w:lang w:val="en-CA"/>
        </w:rPr>
        <w:t>other</w:t>
      </w:r>
      <w:r w:rsidR="0053378D">
        <w:rPr>
          <w:lang w:val="en-CA"/>
        </w:rPr>
        <w:t>”</w:t>
      </w:r>
      <w:r w:rsidR="00212259" w:rsidRPr="00212259">
        <w:rPr>
          <w:lang w:val="en-CA"/>
        </w:rPr>
        <w:t xml:space="preserve"> private investment inflows, leading to a US$ 12.8 million increase in total net foreign investments, which include both loan and equity financing. International reserves expanded by 2.8% to US$ 884.85 million, repre</w:t>
      </w:r>
      <w:r>
        <w:rPr>
          <w:lang w:val="en-CA"/>
        </w:rPr>
        <w:t xml:space="preserve">senting 3.5 months of imports. </w:t>
      </w:r>
    </w:p>
    <w:p w:rsidR="0053378D" w:rsidRDefault="0053378D" w:rsidP="00115C57">
      <w:pPr>
        <w:rPr>
          <w:lang w:val="en-CA"/>
        </w:rPr>
      </w:pPr>
    </w:p>
    <w:p w:rsidR="0053378D" w:rsidRDefault="0053378D" w:rsidP="00115C57">
      <w:pPr>
        <w:rPr>
          <w:lang w:val="en-CA"/>
        </w:rPr>
      </w:pPr>
    </w:p>
    <w:p w:rsidR="0053378D" w:rsidRDefault="0053378D" w:rsidP="0053378D">
      <w:pPr>
        <w:jc w:val="center"/>
        <w:rPr>
          <w:b/>
          <w:lang w:val="en-CA"/>
        </w:rPr>
      </w:pPr>
      <w:r w:rsidRPr="0053378D">
        <w:rPr>
          <w:b/>
          <w:lang w:val="en-CA"/>
        </w:rPr>
        <w:t>4. General trends (first quarter 2012)</w:t>
      </w:r>
    </w:p>
    <w:p w:rsidR="0053378D" w:rsidRPr="0053378D" w:rsidRDefault="0053378D" w:rsidP="0053378D">
      <w:pPr>
        <w:rPr>
          <w:lang w:val="en-CA"/>
        </w:rPr>
      </w:pPr>
    </w:p>
    <w:p w:rsidR="0053378D" w:rsidRPr="004E3AAC" w:rsidRDefault="0053378D" w:rsidP="0053378D">
      <w:pPr>
        <w:rPr>
          <w:lang w:val="en-CA"/>
        </w:rPr>
      </w:pPr>
      <w:r w:rsidRPr="004E3AAC">
        <w:rPr>
          <w:lang w:val="en-CA"/>
        </w:rPr>
        <w:t>Led by tourism and construction, the fledgling recovery in the Bahamian economy continued into the first quarter of 2012.</w:t>
      </w:r>
      <w:r>
        <w:rPr>
          <w:lang w:val="en-CA"/>
        </w:rPr>
        <w:t xml:space="preserve"> </w:t>
      </w:r>
      <w:r w:rsidRPr="004E3AAC">
        <w:rPr>
          <w:lang w:val="en-CA"/>
        </w:rPr>
        <w:t>Tourism was buoyed by higher air and sea arrivals, underpinned by the modest recovery in the United States.</w:t>
      </w:r>
      <w:r>
        <w:rPr>
          <w:lang w:val="en-CA"/>
        </w:rPr>
        <w:t xml:space="preserve"> </w:t>
      </w:r>
      <w:r w:rsidRPr="004E3AAC">
        <w:rPr>
          <w:lang w:val="en-CA"/>
        </w:rPr>
        <w:t>Inflation maintained an upward trend, reflecting the pass-through effects of higher international fuel prices, while the fiscal deficit widened, partly due to election spending. The economy is expected to further strengthen in 2012, with</w:t>
      </w:r>
      <w:r w:rsidRPr="004E3AAC">
        <w:rPr>
          <w:b/>
          <w:lang w:val="en-CA"/>
        </w:rPr>
        <w:t xml:space="preserve"> </w:t>
      </w:r>
      <w:r w:rsidRPr="004E3AAC">
        <w:rPr>
          <w:lang w:val="en-CA"/>
        </w:rPr>
        <w:t>growth</w:t>
      </w:r>
      <w:r w:rsidRPr="004E3AAC">
        <w:rPr>
          <w:b/>
          <w:lang w:val="en-CA"/>
        </w:rPr>
        <w:t xml:space="preserve"> </w:t>
      </w:r>
      <w:r w:rsidRPr="004E3AAC">
        <w:rPr>
          <w:lang w:val="en-CA"/>
        </w:rPr>
        <w:t>rising to 2.8%, fuelled by the continuing recovery in tourism, foreign direct investment (</w:t>
      </w:r>
      <w:proofErr w:type="spellStart"/>
      <w:r w:rsidRPr="004E3AAC">
        <w:rPr>
          <w:lang w:val="en-CA"/>
        </w:rPr>
        <w:t>FDI</w:t>
      </w:r>
      <w:proofErr w:type="spellEnd"/>
      <w:r w:rsidRPr="004E3AAC">
        <w:rPr>
          <w:lang w:val="en-CA"/>
        </w:rPr>
        <w:t>) in hotel construction and government infrastructure works.</w:t>
      </w:r>
    </w:p>
    <w:p w:rsidR="0053378D" w:rsidRPr="004E3AAC" w:rsidRDefault="0053378D" w:rsidP="0053378D">
      <w:pPr>
        <w:rPr>
          <w:lang w:val="en-CA"/>
        </w:rPr>
      </w:pPr>
    </w:p>
    <w:p w:rsidR="0053378D" w:rsidRPr="004E3AAC" w:rsidRDefault="0053378D" w:rsidP="0053378D">
      <w:pPr>
        <w:rPr>
          <w:lang w:val="en-CA"/>
        </w:rPr>
      </w:pPr>
      <w:r>
        <w:rPr>
          <w:lang w:val="en-CA"/>
        </w:rPr>
        <w:tab/>
      </w:r>
      <w:r w:rsidRPr="004E3AAC">
        <w:rPr>
          <w:lang w:val="en-CA"/>
        </w:rPr>
        <w:t>The May 7 general elections led to a change of government, with the Progressive Liberal Party (</w:t>
      </w:r>
      <w:proofErr w:type="spellStart"/>
      <w:r w:rsidRPr="004E3AAC">
        <w:rPr>
          <w:lang w:val="en-CA"/>
        </w:rPr>
        <w:t>PLP</w:t>
      </w:r>
      <w:proofErr w:type="spellEnd"/>
      <w:r w:rsidRPr="004E3AAC">
        <w:rPr>
          <w:lang w:val="en-CA"/>
        </w:rPr>
        <w:t>) taking over from the Free National Movement (</w:t>
      </w:r>
      <w:proofErr w:type="spellStart"/>
      <w:r w:rsidRPr="004E3AAC">
        <w:rPr>
          <w:lang w:val="en-CA"/>
        </w:rPr>
        <w:t>FNM</w:t>
      </w:r>
      <w:proofErr w:type="spellEnd"/>
      <w:r w:rsidRPr="004E3AAC">
        <w:rPr>
          <w:lang w:val="en-CA"/>
        </w:rPr>
        <w:t>).</w:t>
      </w:r>
      <w:r>
        <w:rPr>
          <w:lang w:val="en-CA"/>
        </w:rPr>
        <w:t xml:space="preserve"> </w:t>
      </w:r>
      <w:r w:rsidRPr="004E3AAC">
        <w:rPr>
          <w:lang w:val="en-CA"/>
        </w:rPr>
        <w:t>Nevertheless, no major changes in policy are expected, as the new government is expected to focus on fiscal consolidation and reinvigorating economic growth and employment, while maintaining key social programmes.</w:t>
      </w:r>
    </w:p>
    <w:p w:rsidR="0053378D" w:rsidRPr="004E3AAC" w:rsidRDefault="0053378D" w:rsidP="0053378D">
      <w:pPr>
        <w:rPr>
          <w:lang w:val="en-CA"/>
        </w:rPr>
      </w:pPr>
    </w:p>
    <w:p w:rsidR="0053378D" w:rsidRPr="004E3AAC" w:rsidRDefault="0053378D" w:rsidP="0053378D">
      <w:pPr>
        <w:rPr>
          <w:lang w:val="en-CA"/>
        </w:rPr>
      </w:pPr>
      <w:r>
        <w:rPr>
          <w:lang w:val="en-CA"/>
        </w:rPr>
        <w:tab/>
      </w:r>
      <w:r w:rsidRPr="004E3AAC">
        <w:rPr>
          <w:lang w:val="en-CA"/>
        </w:rPr>
        <w:t>Plans to contain the deficit did not materialize in the first quarter of 2012.</w:t>
      </w:r>
      <w:r>
        <w:rPr>
          <w:lang w:val="en-CA"/>
        </w:rPr>
        <w:t xml:space="preserve"> </w:t>
      </w:r>
      <w:r w:rsidRPr="004E3AAC">
        <w:rPr>
          <w:lang w:val="en-CA"/>
        </w:rPr>
        <w:t>For the three months from December 2011 to February 2012, the government registered a deficit of 2.7% of GDP, compared with a surplus of 1.4% of GDP in the similar period of fiscal year 2010/2011. This result stemmed from net lending to public corporations, higher spending on infrastructure, and the job-creation programme in the face of only modest growth in revenues. Public-sector debt expanded by 1.3% to B$ 3.86 billion at the end of March 2012, compared with December 2011.</w:t>
      </w:r>
    </w:p>
    <w:p w:rsidR="0053378D" w:rsidRDefault="0053378D">
      <w:pPr>
        <w:jc w:val="left"/>
        <w:rPr>
          <w:lang w:val="en-CA"/>
        </w:rPr>
      </w:pPr>
      <w:r>
        <w:rPr>
          <w:lang w:val="en-CA"/>
        </w:rPr>
        <w:br w:type="page"/>
      </w:r>
    </w:p>
    <w:p w:rsidR="0053378D" w:rsidRPr="004E3AAC" w:rsidRDefault="0053378D" w:rsidP="0053378D">
      <w:pPr>
        <w:rPr>
          <w:lang w:val="en-CA"/>
        </w:rPr>
      </w:pPr>
      <w:r>
        <w:rPr>
          <w:lang w:val="en-CA"/>
        </w:rPr>
        <w:tab/>
      </w:r>
      <w:r w:rsidRPr="004E3AAC">
        <w:rPr>
          <w:lang w:val="en-CA"/>
        </w:rPr>
        <w:t>Monetary conditions in the first quarter of 2012 continued to be marked by the decline in credit to the private sector amid still weak business confidence. Credit to the public sector expanded, however, by B$ 65.9 million, in a turnaround from the decline in 2011. Banks</w:t>
      </w:r>
      <w:r>
        <w:rPr>
          <w:lang w:val="en-CA"/>
        </w:rPr>
        <w:t>’</w:t>
      </w:r>
      <w:r w:rsidRPr="004E3AAC">
        <w:rPr>
          <w:lang w:val="en-CA"/>
        </w:rPr>
        <w:t xml:space="preserve"> credit quality improved following loan write-offs and debt consolidation. Despite this, non-performing loans still increased marginally, to 13.1% of total loans. </w:t>
      </w:r>
    </w:p>
    <w:p w:rsidR="0053378D" w:rsidRPr="004E3AAC" w:rsidRDefault="0053378D" w:rsidP="0053378D">
      <w:pPr>
        <w:rPr>
          <w:lang w:val="en-CA"/>
        </w:rPr>
      </w:pPr>
    </w:p>
    <w:p w:rsidR="0053378D" w:rsidRPr="004E3AAC" w:rsidRDefault="0053378D" w:rsidP="0053378D">
      <w:pPr>
        <w:rPr>
          <w:lang w:val="en-CA"/>
        </w:rPr>
      </w:pPr>
      <w:r>
        <w:rPr>
          <w:lang w:val="en-CA"/>
        </w:rPr>
        <w:tab/>
      </w:r>
      <w:r w:rsidRPr="004E3AAC">
        <w:rPr>
          <w:lang w:val="en-CA"/>
        </w:rPr>
        <w:t>Growth in activity from the last quarter of 2011 continued into 2012.</w:t>
      </w:r>
      <w:r>
        <w:rPr>
          <w:lang w:val="en-CA"/>
        </w:rPr>
        <w:t xml:space="preserve"> </w:t>
      </w:r>
      <w:r w:rsidRPr="004E3AAC">
        <w:rPr>
          <w:lang w:val="en-CA"/>
        </w:rPr>
        <w:t>Tourism activity strengthened with the high spending stopover arrivals increasing by 2.9% in the first two months of 2012, relative to the same period of 2011.</w:t>
      </w:r>
      <w:r>
        <w:rPr>
          <w:lang w:val="en-CA"/>
        </w:rPr>
        <w:t xml:space="preserve"> </w:t>
      </w:r>
      <w:r w:rsidRPr="004E3AAC">
        <w:rPr>
          <w:lang w:val="en-CA"/>
        </w:rPr>
        <w:t xml:space="preserve">Arrivals were boosted by the </w:t>
      </w:r>
      <w:r>
        <w:rPr>
          <w:lang w:val="en-CA"/>
        </w:rPr>
        <w:t>“</w:t>
      </w:r>
      <w:r w:rsidRPr="004E3AAC">
        <w:rPr>
          <w:lang w:val="en-CA"/>
        </w:rPr>
        <w:t>Companion Fly Free</w:t>
      </w:r>
      <w:r>
        <w:rPr>
          <w:lang w:val="en-CA"/>
        </w:rPr>
        <w:t>”</w:t>
      </w:r>
      <w:r w:rsidRPr="004E3AAC">
        <w:rPr>
          <w:lang w:val="en-CA"/>
        </w:rPr>
        <w:t xml:space="preserve"> plan.</w:t>
      </w:r>
      <w:r>
        <w:rPr>
          <w:lang w:val="en-CA"/>
        </w:rPr>
        <w:t xml:space="preserve"> </w:t>
      </w:r>
      <w:r w:rsidRPr="004E3AAC">
        <w:rPr>
          <w:lang w:val="en-CA"/>
        </w:rPr>
        <w:t>Cruise passenger arrivals rose by 9.2% (year-on-year for the first quarter) to total 497,684 in 2012.</w:t>
      </w:r>
      <w:r>
        <w:rPr>
          <w:lang w:val="en-CA"/>
        </w:rPr>
        <w:t xml:space="preserve"> </w:t>
      </w:r>
      <w:r w:rsidRPr="004E3AAC">
        <w:rPr>
          <w:lang w:val="en-CA"/>
        </w:rPr>
        <w:t xml:space="preserve">Activity continued to be brisk in the offshore financial services sector, with higher registration of entities amid improving investor confidence and efforts to rebrand the sector. Construction activity picked up with continued work on the </w:t>
      </w:r>
      <w:proofErr w:type="spellStart"/>
      <w:r w:rsidRPr="004E3AAC">
        <w:rPr>
          <w:lang w:val="en-CA"/>
        </w:rPr>
        <w:t>Baha</w:t>
      </w:r>
      <w:proofErr w:type="spellEnd"/>
      <w:r w:rsidRPr="004E3AAC">
        <w:rPr>
          <w:lang w:val="en-CA"/>
        </w:rPr>
        <w:t xml:space="preserve"> Mar project and road and airport infrastructure.</w:t>
      </w:r>
      <w:r>
        <w:rPr>
          <w:lang w:val="en-CA"/>
        </w:rPr>
        <w:t xml:space="preserve"> </w:t>
      </w:r>
      <w:r w:rsidRPr="004E3AAC">
        <w:rPr>
          <w:lang w:val="en-CA"/>
        </w:rPr>
        <w:t>Inflation edged up to 2.5% February-on-February, reflecting persistently high international fuel prices, which led to a sharp increase in gasoline and diesel prices.</w:t>
      </w:r>
    </w:p>
    <w:p w:rsidR="0053378D" w:rsidRPr="004E3AAC" w:rsidRDefault="0053378D" w:rsidP="0053378D">
      <w:pPr>
        <w:rPr>
          <w:lang w:val="en-CA"/>
        </w:rPr>
      </w:pPr>
    </w:p>
    <w:p w:rsidR="0053378D" w:rsidRPr="004E3AAC" w:rsidRDefault="0053378D" w:rsidP="0053378D">
      <w:pPr>
        <w:rPr>
          <w:lang w:val="en-CA"/>
        </w:rPr>
      </w:pPr>
      <w:r>
        <w:rPr>
          <w:lang w:val="en-CA"/>
        </w:rPr>
        <w:tab/>
      </w:r>
      <w:r w:rsidRPr="004E3AAC">
        <w:rPr>
          <w:lang w:val="en-CA"/>
        </w:rPr>
        <w:t>The external current account deficit widened year-on-year to March, owing to a larger trade deficit, attributable to higher imports of building materials and other goods, which offset the improvement in tourism receipts.</w:t>
      </w:r>
    </w:p>
    <w:p w:rsidR="0053378D" w:rsidRPr="004E3AAC" w:rsidRDefault="0053378D" w:rsidP="0053378D">
      <w:pPr>
        <w:rPr>
          <w:lang w:val="en-CA"/>
        </w:rPr>
      </w:pPr>
    </w:p>
    <w:p w:rsidR="0053378D" w:rsidRPr="002A7D77" w:rsidRDefault="0053378D" w:rsidP="0053378D">
      <w:pPr>
        <w:rPr>
          <w:lang w:val="en-CA"/>
        </w:rPr>
      </w:pPr>
      <w:r>
        <w:rPr>
          <w:lang w:val="en-CA"/>
        </w:rPr>
        <w:tab/>
      </w:r>
      <w:r w:rsidRPr="004E3AAC">
        <w:rPr>
          <w:lang w:val="en-CA"/>
        </w:rPr>
        <w:t>Inflation is expected to increase marginally, influenced by firmer activity and high fuel prices. The fiscal deficit is expected to grow as the new government implements key programmes in its manifesto. Meanwhile, the balance-of-payments current account deficit is projected to widen as a result of the high bill for oil and other imports required for major projects.</w:t>
      </w:r>
    </w:p>
    <w:sectPr w:rsidR="0053378D" w:rsidRPr="002A7D77" w:rsidSect="0044530D">
      <w:headerReference w:type="default" r:id="rId8"/>
      <w:pgSz w:w="12242" w:h="15842" w:code="1"/>
      <w:pgMar w:top="1939" w:right="1440" w:bottom="1440" w:left="1440" w:header="1134"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530D" w:rsidRDefault="0044530D">
      <w:r>
        <w:separator/>
      </w:r>
    </w:p>
  </w:endnote>
  <w:endnote w:type="continuationSeparator" w:id="0">
    <w:p w:rsidR="0044530D" w:rsidRDefault="004453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530D" w:rsidRDefault="0044530D">
      <w:r>
        <w:separator/>
      </w:r>
    </w:p>
  </w:footnote>
  <w:footnote w:type="continuationSeparator" w:id="0">
    <w:p w:rsidR="0044530D" w:rsidRDefault="0044530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248708"/>
      <w:docPartObj>
        <w:docPartGallery w:val="Page Numbers (Top of Page)"/>
        <w:docPartUnique/>
      </w:docPartObj>
    </w:sdtPr>
    <w:sdtContent>
      <w:p w:rsidR="0044530D" w:rsidRDefault="00841FD1" w:rsidP="0044530D">
        <w:pPr>
          <w:pStyle w:val="Header"/>
          <w:jc w:val="center"/>
        </w:pPr>
        <w:fldSimple w:instr=" PAGE   \* MERGEFORMAT ">
          <w:r w:rsidR="00371EE8">
            <w:rPr>
              <w:noProof/>
            </w:rPr>
            <w:t>1</w:t>
          </w:r>
        </w:fldSimple>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FC739B"/>
    <w:multiLevelType w:val="hybridMultilevel"/>
    <w:tmpl w:val="A1B6757C"/>
    <w:lvl w:ilvl="0" w:tplc="82FC6F26">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F1E3FAC"/>
    <w:multiLevelType w:val="multilevel"/>
    <w:tmpl w:val="65223CCC"/>
    <w:lvl w:ilvl="0">
      <w:start w:val="3"/>
      <w:numFmt w:val="decimal"/>
      <w:lvlText w:val="%1"/>
      <w:lvlJc w:val="left"/>
      <w:pPr>
        <w:tabs>
          <w:tab w:val="num" w:pos="720"/>
        </w:tabs>
        <w:ind w:left="720" w:hanging="720"/>
      </w:pPr>
      <w:rPr>
        <w:rFonts w:hint="default"/>
      </w:rPr>
    </w:lvl>
    <w:lvl w:ilvl="1">
      <w:start w:val="1"/>
      <w:numFmt w:val="lowerLetter"/>
      <w:lvlText w:val="(%2)"/>
      <w:lvlJc w:val="left"/>
      <w:pPr>
        <w:tabs>
          <w:tab w:val="num" w:pos="1440"/>
        </w:tabs>
        <w:ind w:left="1440" w:hanging="720"/>
      </w:pPr>
      <w:rPr>
        <w:rFonts w:ascii="Times New Roman" w:eastAsia="Times New Roman" w:hAnsi="Times New Roman" w:cs="Times New Roman"/>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
    <w:nsid w:val="34491E43"/>
    <w:multiLevelType w:val="multilevel"/>
    <w:tmpl w:val="A2AAD940"/>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44436FD4"/>
    <w:multiLevelType w:val="hybridMultilevel"/>
    <w:tmpl w:val="F5BCCB36"/>
    <w:lvl w:ilvl="0" w:tplc="0809000F">
      <w:start w:val="1"/>
      <w:numFmt w:val="decimal"/>
      <w:lvlText w:val="%1."/>
      <w:lvlJc w:val="left"/>
      <w:pPr>
        <w:tabs>
          <w:tab w:val="num" w:pos="720"/>
        </w:tabs>
        <w:ind w:left="720" w:hanging="360"/>
      </w:pPr>
      <w:rPr>
        <w:rFonts w:hint="default"/>
      </w:rPr>
    </w:lvl>
    <w:lvl w:ilvl="1" w:tplc="68864474">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58532F1B"/>
    <w:multiLevelType w:val="hybridMultilevel"/>
    <w:tmpl w:val="2FBE0134"/>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64A7329B"/>
    <w:multiLevelType w:val="hybridMultilevel"/>
    <w:tmpl w:val="F6C0DF30"/>
    <w:lvl w:ilvl="0" w:tplc="04090001">
      <w:start w:val="1"/>
      <w:numFmt w:val="bullet"/>
      <w:lvlText w:val=""/>
      <w:lvlJc w:val="left"/>
      <w:pPr>
        <w:ind w:left="1428" w:hanging="360"/>
      </w:pPr>
      <w:rPr>
        <w:rFonts w:ascii="Symbol" w:hAnsi="Symbol" w:hint="default"/>
      </w:rPr>
    </w:lvl>
    <w:lvl w:ilvl="1" w:tplc="E47AD880">
      <w:start w:val="2009"/>
      <w:numFmt w:val="bullet"/>
      <w:lvlText w:val="-"/>
      <w:lvlJc w:val="left"/>
      <w:pPr>
        <w:ind w:left="2148" w:hanging="360"/>
      </w:pPr>
      <w:rPr>
        <w:rFonts w:ascii="Calibri" w:eastAsia="Times New Roman" w:hAnsi="Calibri"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20"/>
  <w:hyphenationZone w:val="425"/>
  <w:characterSpacingControl w:val="doNotCompress"/>
  <w:footnotePr>
    <w:footnote w:id="-1"/>
    <w:footnote w:id="0"/>
  </w:footnotePr>
  <w:endnotePr>
    <w:endnote w:id="-1"/>
    <w:endnote w:id="0"/>
  </w:endnotePr>
  <w:compat/>
  <w:rsids>
    <w:rsidRoot w:val="00C0026A"/>
    <w:rsid w:val="00000EB0"/>
    <w:rsid w:val="000027BD"/>
    <w:rsid w:val="000121C1"/>
    <w:rsid w:val="00016AEF"/>
    <w:rsid w:val="000409C0"/>
    <w:rsid w:val="00060BB6"/>
    <w:rsid w:val="000621A6"/>
    <w:rsid w:val="0006335B"/>
    <w:rsid w:val="00067200"/>
    <w:rsid w:val="000759A9"/>
    <w:rsid w:val="000855E5"/>
    <w:rsid w:val="000A1414"/>
    <w:rsid w:val="000A7C2D"/>
    <w:rsid w:val="000B6E0D"/>
    <w:rsid w:val="000C5AD1"/>
    <w:rsid w:val="000C5CD8"/>
    <w:rsid w:val="000D0CC2"/>
    <w:rsid w:val="000F3C7B"/>
    <w:rsid w:val="00100137"/>
    <w:rsid w:val="00115C57"/>
    <w:rsid w:val="001335D3"/>
    <w:rsid w:val="00134D4C"/>
    <w:rsid w:val="00144830"/>
    <w:rsid w:val="00150583"/>
    <w:rsid w:val="001559C3"/>
    <w:rsid w:val="001708CF"/>
    <w:rsid w:val="0017498C"/>
    <w:rsid w:val="00185408"/>
    <w:rsid w:val="00185715"/>
    <w:rsid w:val="001A4640"/>
    <w:rsid w:val="001B04AD"/>
    <w:rsid w:val="001B1CBE"/>
    <w:rsid w:val="001C09A8"/>
    <w:rsid w:val="001D4443"/>
    <w:rsid w:val="001D4817"/>
    <w:rsid w:val="001D4985"/>
    <w:rsid w:val="001D4E76"/>
    <w:rsid w:val="001E30E5"/>
    <w:rsid w:val="001E6751"/>
    <w:rsid w:val="001E7F0A"/>
    <w:rsid w:val="001F1315"/>
    <w:rsid w:val="001F266D"/>
    <w:rsid w:val="00202A1B"/>
    <w:rsid w:val="002040F1"/>
    <w:rsid w:val="002107B0"/>
    <w:rsid w:val="00212259"/>
    <w:rsid w:val="00215492"/>
    <w:rsid w:val="0021620B"/>
    <w:rsid w:val="00220C2D"/>
    <w:rsid w:val="00223046"/>
    <w:rsid w:val="00226938"/>
    <w:rsid w:val="0023268B"/>
    <w:rsid w:val="0023510E"/>
    <w:rsid w:val="0024049D"/>
    <w:rsid w:val="002573AE"/>
    <w:rsid w:val="002577A4"/>
    <w:rsid w:val="00271541"/>
    <w:rsid w:val="002732F3"/>
    <w:rsid w:val="00290E8E"/>
    <w:rsid w:val="0029127A"/>
    <w:rsid w:val="002948FC"/>
    <w:rsid w:val="002965BB"/>
    <w:rsid w:val="002975DB"/>
    <w:rsid w:val="002A075C"/>
    <w:rsid w:val="002A2CB9"/>
    <w:rsid w:val="002A4F10"/>
    <w:rsid w:val="002A7D77"/>
    <w:rsid w:val="002B3B54"/>
    <w:rsid w:val="002B4A0A"/>
    <w:rsid w:val="002B705D"/>
    <w:rsid w:val="002C038B"/>
    <w:rsid w:val="002C41B3"/>
    <w:rsid w:val="002C4A9F"/>
    <w:rsid w:val="002C5676"/>
    <w:rsid w:val="002D7B40"/>
    <w:rsid w:val="002D7E33"/>
    <w:rsid w:val="002E391F"/>
    <w:rsid w:val="002E3FC8"/>
    <w:rsid w:val="00304029"/>
    <w:rsid w:val="003052C9"/>
    <w:rsid w:val="0030684D"/>
    <w:rsid w:val="00312AFA"/>
    <w:rsid w:val="003153B5"/>
    <w:rsid w:val="003202FB"/>
    <w:rsid w:val="003210F6"/>
    <w:rsid w:val="00331115"/>
    <w:rsid w:val="00332124"/>
    <w:rsid w:val="00334D91"/>
    <w:rsid w:val="00342848"/>
    <w:rsid w:val="00347CBF"/>
    <w:rsid w:val="00352A78"/>
    <w:rsid w:val="00354EBE"/>
    <w:rsid w:val="00364D55"/>
    <w:rsid w:val="00364F35"/>
    <w:rsid w:val="00371EE8"/>
    <w:rsid w:val="00380E98"/>
    <w:rsid w:val="00381F34"/>
    <w:rsid w:val="00391E17"/>
    <w:rsid w:val="003A583E"/>
    <w:rsid w:val="003B03D3"/>
    <w:rsid w:val="003B5A23"/>
    <w:rsid w:val="003C05CC"/>
    <w:rsid w:val="003C73BB"/>
    <w:rsid w:val="003D3DAF"/>
    <w:rsid w:val="003D5D3E"/>
    <w:rsid w:val="003E3DF2"/>
    <w:rsid w:val="003E4ABA"/>
    <w:rsid w:val="003E68B6"/>
    <w:rsid w:val="003F0F7E"/>
    <w:rsid w:val="003F3122"/>
    <w:rsid w:val="003F5B04"/>
    <w:rsid w:val="00401D5D"/>
    <w:rsid w:val="00414646"/>
    <w:rsid w:val="00416612"/>
    <w:rsid w:val="00424465"/>
    <w:rsid w:val="00441953"/>
    <w:rsid w:val="0044341E"/>
    <w:rsid w:val="0044530D"/>
    <w:rsid w:val="00450202"/>
    <w:rsid w:val="00451766"/>
    <w:rsid w:val="00460353"/>
    <w:rsid w:val="00463FA0"/>
    <w:rsid w:val="00466221"/>
    <w:rsid w:val="004666ED"/>
    <w:rsid w:val="00467BF3"/>
    <w:rsid w:val="004810B6"/>
    <w:rsid w:val="0048140C"/>
    <w:rsid w:val="00481BB5"/>
    <w:rsid w:val="00486602"/>
    <w:rsid w:val="00486714"/>
    <w:rsid w:val="00490335"/>
    <w:rsid w:val="004A6440"/>
    <w:rsid w:val="004B2A12"/>
    <w:rsid w:val="004C48CD"/>
    <w:rsid w:val="004C77FA"/>
    <w:rsid w:val="004E46A0"/>
    <w:rsid w:val="004E658F"/>
    <w:rsid w:val="004F002B"/>
    <w:rsid w:val="004F1B4D"/>
    <w:rsid w:val="0050029D"/>
    <w:rsid w:val="00500540"/>
    <w:rsid w:val="00501BE8"/>
    <w:rsid w:val="00524DEB"/>
    <w:rsid w:val="005305F9"/>
    <w:rsid w:val="00533011"/>
    <w:rsid w:val="0053378D"/>
    <w:rsid w:val="00534FB8"/>
    <w:rsid w:val="00544B3D"/>
    <w:rsid w:val="00551EE2"/>
    <w:rsid w:val="00555098"/>
    <w:rsid w:val="00557647"/>
    <w:rsid w:val="00563B65"/>
    <w:rsid w:val="005642FD"/>
    <w:rsid w:val="00565B57"/>
    <w:rsid w:val="0057070F"/>
    <w:rsid w:val="0058288D"/>
    <w:rsid w:val="00590314"/>
    <w:rsid w:val="00591212"/>
    <w:rsid w:val="005A50CB"/>
    <w:rsid w:val="005B2AB5"/>
    <w:rsid w:val="005B3703"/>
    <w:rsid w:val="005B3B8C"/>
    <w:rsid w:val="005C09D1"/>
    <w:rsid w:val="005C1BBF"/>
    <w:rsid w:val="005D5B0E"/>
    <w:rsid w:val="005D5DF8"/>
    <w:rsid w:val="005E0B8E"/>
    <w:rsid w:val="005F10F9"/>
    <w:rsid w:val="005F54A6"/>
    <w:rsid w:val="005F5E6E"/>
    <w:rsid w:val="006157A6"/>
    <w:rsid w:val="006207DE"/>
    <w:rsid w:val="00627AAA"/>
    <w:rsid w:val="00634E95"/>
    <w:rsid w:val="00636253"/>
    <w:rsid w:val="0065399E"/>
    <w:rsid w:val="00665358"/>
    <w:rsid w:val="0066648A"/>
    <w:rsid w:val="00671A42"/>
    <w:rsid w:val="00671CFF"/>
    <w:rsid w:val="00684A68"/>
    <w:rsid w:val="0069030F"/>
    <w:rsid w:val="00690D0B"/>
    <w:rsid w:val="00690D9E"/>
    <w:rsid w:val="006924BB"/>
    <w:rsid w:val="00695A62"/>
    <w:rsid w:val="0069722A"/>
    <w:rsid w:val="006B0FB4"/>
    <w:rsid w:val="006C00E2"/>
    <w:rsid w:val="006C44CC"/>
    <w:rsid w:val="006D0965"/>
    <w:rsid w:val="006D1F60"/>
    <w:rsid w:val="006D2D5F"/>
    <w:rsid w:val="006E0CFC"/>
    <w:rsid w:val="006E3E05"/>
    <w:rsid w:val="006E4C89"/>
    <w:rsid w:val="006E5E63"/>
    <w:rsid w:val="006E6A2E"/>
    <w:rsid w:val="006F290F"/>
    <w:rsid w:val="00707B63"/>
    <w:rsid w:val="0071010B"/>
    <w:rsid w:val="0071321E"/>
    <w:rsid w:val="00722C2A"/>
    <w:rsid w:val="00723EDD"/>
    <w:rsid w:val="007333DD"/>
    <w:rsid w:val="0073383F"/>
    <w:rsid w:val="00734939"/>
    <w:rsid w:val="0073522B"/>
    <w:rsid w:val="0074530E"/>
    <w:rsid w:val="00745FC7"/>
    <w:rsid w:val="007524C2"/>
    <w:rsid w:val="00754116"/>
    <w:rsid w:val="00757DB5"/>
    <w:rsid w:val="0076090C"/>
    <w:rsid w:val="00762142"/>
    <w:rsid w:val="00763479"/>
    <w:rsid w:val="00765D2D"/>
    <w:rsid w:val="007716B6"/>
    <w:rsid w:val="007725EC"/>
    <w:rsid w:val="007778FA"/>
    <w:rsid w:val="007812A7"/>
    <w:rsid w:val="0078548C"/>
    <w:rsid w:val="0079268B"/>
    <w:rsid w:val="00792748"/>
    <w:rsid w:val="0079464A"/>
    <w:rsid w:val="007A0E9A"/>
    <w:rsid w:val="007A48F4"/>
    <w:rsid w:val="007A6D36"/>
    <w:rsid w:val="007B35DA"/>
    <w:rsid w:val="007B5D00"/>
    <w:rsid w:val="007C5D55"/>
    <w:rsid w:val="007D42BD"/>
    <w:rsid w:val="007D6F13"/>
    <w:rsid w:val="007D7FAE"/>
    <w:rsid w:val="007F19CC"/>
    <w:rsid w:val="007F2854"/>
    <w:rsid w:val="00802D71"/>
    <w:rsid w:val="0080376A"/>
    <w:rsid w:val="00806BF2"/>
    <w:rsid w:val="0081030E"/>
    <w:rsid w:val="008137A5"/>
    <w:rsid w:val="00822637"/>
    <w:rsid w:val="0083383C"/>
    <w:rsid w:val="00841FD1"/>
    <w:rsid w:val="008539AD"/>
    <w:rsid w:val="00860B22"/>
    <w:rsid w:val="00861158"/>
    <w:rsid w:val="00863348"/>
    <w:rsid w:val="00867F2A"/>
    <w:rsid w:val="00874DF6"/>
    <w:rsid w:val="008753E0"/>
    <w:rsid w:val="0087684F"/>
    <w:rsid w:val="00885A5B"/>
    <w:rsid w:val="008866D8"/>
    <w:rsid w:val="00887BBC"/>
    <w:rsid w:val="008A3E42"/>
    <w:rsid w:val="008A78E4"/>
    <w:rsid w:val="008B2B5C"/>
    <w:rsid w:val="008B47D2"/>
    <w:rsid w:val="008B542A"/>
    <w:rsid w:val="008B67A1"/>
    <w:rsid w:val="008C0886"/>
    <w:rsid w:val="008C172A"/>
    <w:rsid w:val="008C7811"/>
    <w:rsid w:val="008D0490"/>
    <w:rsid w:val="008D7373"/>
    <w:rsid w:val="008D7D0C"/>
    <w:rsid w:val="008E25AF"/>
    <w:rsid w:val="008F174C"/>
    <w:rsid w:val="008F1E07"/>
    <w:rsid w:val="00900109"/>
    <w:rsid w:val="00904DBD"/>
    <w:rsid w:val="00906F8D"/>
    <w:rsid w:val="00911BCF"/>
    <w:rsid w:val="00915F82"/>
    <w:rsid w:val="009167F2"/>
    <w:rsid w:val="00920F68"/>
    <w:rsid w:val="0093020C"/>
    <w:rsid w:val="0093220F"/>
    <w:rsid w:val="0094191A"/>
    <w:rsid w:val="00945AFA"/>
    <w:rsid w:val="0095052A"/>
    <w:rsid w:val="009615B8"/>
    <w:rsid w:val="00961929"/>
    <w:rsid w:val="009629DE"/>
    <w:rsid w:val="009645B8"/>
    <w:rsid w:val="00964FB6"/>
    <w:rsid w:val="00991AAA"/>
    <w:rsid w:val="009963B2"/>
    <w:rsid w:val="009A0644"/>
    <w:rsid w:val="009A3450"/>
    <w:rsid w:val="009A7A13"/>
    <w:rsid w:val="009B240B"/>
    <w:rsid w:val="009B2D66"/>
    <w:rsid w:val="009D3A7B"/>
    <w:rsid w:val="009D5F04"/>
    <w:rsid w:val="009E3E17"/>
    <w:rsid w:val="009E527C"/>
    <w:rsid w:val="009E62BE"/>
    <w:rsid w:val="009F039F"/>
    <w:rsid w:val="009F3CB3"/>
    <w:rsid w:val="00A1084B"/>
    <w:rsid w:val="00A21629"/>
    <w:rsid w:val="00A24ECF"/>
    <w:rsid w:val="00A30AC3"/>
    <w:rsid w:val="00A357EA"/>
    <w:rsid w:val="00A41D2F"/>
    <w:rsid w:val="00A436CE"/>
    <w:rsid w:val="00A44953"/>
    <w:rsid w:val="00A472DA"/>
    <w:rsid w:val="00A5097E"/>
    <w:rsid w:val="00A51C88"/>
    <w:rsid w:val="00A51D39"/>
    <w:rsid w:val="00A54C20"/>
    <w:rsid w:val="00A65F0F"/>
    <w:rsid w:val="00A664F2"/>
    <w:rsid w:val="00A7043D"/>
    <w:rsid w:val="00A7553C"/>
    <w:rsid w:val="00A77557"/>
    <w:rsid w:val="00A82882"/>
    <w:rsid w:val="00A8400A"/>
    <w:rsid w:val="00A86FD3"/>
    <w:rsid w:val="00A94D89"/>
    <w:rsid w:val="00A955D2"/>
    <w:rsid w:val="00AA12A6"/>
    <w:rsid w:val="00AA3137"/>
    <w:rsid w:val="00AA37C1"/>
    <w:rsid w:val="00AA5AAC"/>
    <w:rsid w:val="00AB0B91"/>
    <w:rsid w:val="00AB3617"/>
    <w:rsid w:val="00AC257E"/>
    <w:rsid w:val="00AD1371"/>
    <w:rsid w:val="00AD3DCB"/>
    <w:rsid w:val="00AD6077"/>
    <w:rsid w:val="00AE025A"/>
    <w:rsid w:val="00AF1281"/>
    <w:rsid w:val="00B00FDC"/>
    <w:rsid w:val="00B116F7"/>
    <w:rsid w:val="00B22E34"/>
    <w:rsid w:val="00B27A67"/>
    <w:rsid w:val="00B30564"/>
    <w:rsid w:val="00B32A03"/>
    <w:rsid w:val="00B36252"/>
    <w:rsid w:val="00B40029"/>
    <w:rsid w:val="00B407AB"/>
    <w:rsid w:val="00B414B9"/>
    <w:rsid w:val="00B41AAE"/>
    <w:rsid w:val="00B44DC8"/>
    <w:rsid w:val="00B578EE"/>
    <w:rsid w:val="00B62925"/>
    <w:rsid w:val="00B678F4"/>
    <w:rsid w:val="00B67F2D"/>
    <w:rsid w:val="00B71BEC"/>
    <w:rsid w:val="00B740E8"/>
    <w:rsid w:val="00B75AB4"/>
    <w:rsid w:val="00BA3FC1"/>
    <w:rsid w:val="00BA4E34"/>
    <w:rsid w:val="00BB64AD"/>
    <w:rsid w:val="00BB6B1D"/>
    <w:rsid w:val="00BC0469"/>
    <w:rsid w:val="00BC56BB"/>
    <w:rsid w:val="00BD34B5"/>
    <w:rsid w:val="00BD5D0F"/>
    <w:rsid w:val="00BD68D9"/>
    <w:rsid w:val="00BF281E"/>
    <w:rsid w:val="00BF4D28"/>
    <w:rsid w:val="00C0026A"/>
    <w:rsid w:val="00C01408"/>
    <w:rsid w:val="00C11A2B"/>
    <w:rsid w:val="00C11FA6"/>
    <w:rsid w:val="00C2095B"/>
    <w:rsid w:val="00C213B4"/>
    <w:rsid w:val="00C270FD"/>
    <w:rsid w:val="00C32D24"/>
    <w:rsid w:val="00C41715"/>
    <w:rsid w:val="00C47CDE"/>
    <w:rsid w:val="00C50080"/>
    <w:rsid w:val="00C54995"/>
    <w:rsid w:val="00CA3B68"/>
    <w:rsid w:val="00CB1D78"/>
    <w:rsid w:val="00CC62C3"/>
    <w:rsid w:val="00CD5960"/>
    <w:rsid w:val="00CD7008"/>
    <w:rsid w:val="00CE4390"/>
    <w:rsid w:val="00CF10F0"/>
    <w:rsid w:val="00CF3F2F"/>
    <w:rsid w:val="00CF4611"/>
    <w:rsid w:val="00D11787"/>
    <w:rsid w:val="00D33792"/>
    <w:rsid w:val="00D34295"/>
    <w:rsid w:val="00D354BB"/>
    <w:rsid w:val="00D41056"/>
    <w:rsid w:val="00D46174"/>
    <w:rsid w:val="00D46516"/>
    <w:rsid w:val="00D465A2"/>
    <w:rsid w:val="00D50028"/>
    <w:rsid w:val="00D50639"/>
    <w:rsid w:val="00D54714"/>
    <w:rsid w:val="00D54BAE"/>
    <w:rsid w:val="00D67B53"/>
    <w:rsid w:val="00D70BA2"/>
    <w:rsid w:val="00D7139E"/>
    <w:rsid w:val="00D7188B"/>
    <w:rsid w:val="00D86C40"/>
    <w:rsid w:val="00D90B1A"/>
    <w:rsid w:val="00DB199C"/>
    <w:rsid w:val="00DB4B55"/>
    <w:rsid w:val="00DC6765"/>
    <w:rsid w:val="00DD029E"/>
    <w:rsid w:val="00DD5D4A"/>
    <w:rsid w:val="00DE09F0"/>
    <w:rsid w:val="00DF0F19"/>
    <w:rsid w:val="00DF3DDB"/>
    <w:rsid w:val="00DF7EEE"/>
    <w:rsid w:val="00E06E46"/>
    <w:rsid w:val="00E10942"/>
    <w:rsid w:val="00E10C29"/>
    <w:rsid w:val="00E15147"/>
    <w:rsid w:val="00E1642E"/>
    <w:rsid w:val="00E203AD"/>
    <w:rsid w:val="00E25219"/>
    <w:rsid w:val="00E2691E"/>
    <w:rsid w:val="00E30EA1"/>
    <w:rsid w:val="00E310D0"/>
    <w:rsid w:val="00E3434B"/>
    <w:rsid w:val="00E35827"/>
    <w:rsid w:val="00E35CB2"/>
    <w:rsid w:val="00E37CE0"/>
    <w:rsid w:val="00E46BD0"/>
    <w:rsid w:val="00E5238F"/>
    <w:rsid w:val="00E70D36"/>
    <w:rsid w:val="00E7123B"/>
    <w:rsid w:val="00E724C1"/>
    <w:rsid w:val="00E84655"/>
    <w:rsid w:val="00E9173F"/>
    <w:rsid w:val="00E97567"/>
    <w:rsid w:val="00EA4A37"/>
    <w:rsid w:val="00EA5D15"/>
    <w:rsid w:val="00EA629A"/>
    <w:rsid w:val="00EB4E82"/>
    <w:rsid w:val="00EC3625"/>
    <w:rsid w:val="00EC6A07"/>
    <w:rsid w:val="00EC7C24"/>
    <w:rsid w:val="00ED1BC3"/>
    <w:rsid w:val="00ED28B2"/>
    <w:rsid w:val="00ED7BF1"/>
    <w:rsid w:val="00EE68C1"/>
    <w:rsid w:val="00EE6C2A"/>
    <w:rsid w:val="00EF539C"/>
    <w:rsid w:val="00F10522"/>
    <w:rsid w:val="00F15E60"/>
    <w:rsid w:val="00F21325"/>
    <w:rsid w:val="00F21D26"/>
    <w:rsid w:val="00F23F76"/>
    <w:rsid w:val="00F250CB"/>
    <w:rsid w:val="00F31812"/>
    <w:rsid w:val="00F40BCB"/>
    <w:rsid w:val="00F40BD1"/>
    <w:rsid w:val="00F415BA"/>
    <w:rsid w:val="00F443E3"/>
    <w:rsid w:val="00F45528"/>
    <w:rsid w:val="00F50A85"/>
    <w:rsid w:val="00F51D51"/>
    <w:rsid w:val="00F5336E"/>
    <w:rsid w:val="00F57601"/>
    <w:rsid w:val="00F630BE"/>
    <w:rsid w:val="00F654BC"/>
    <w:rsid w:val="00F707DC"/>
    <w:rsid w:val="00F7307F"/>
    <w:rsid w:val="00F742D9"/>
    <w:rsid w:val="00F74E50"/>
    <w:rsid w:val="00F77EB5"/>
    <w:rsid w:val="00F92B47"/>
    <w:rsid w:val="00F93FD3"/>
    <w:rsid w:val="00F9407A"/>
    <w:rsid w:val="00F95824"/>
    <w:rsid w:val="00F96920"/>
    <w:rsid w:val="00FA0F95"/>
    <w:rsid w:val="00FA23C4"/>
    <w:rsid w:val="00FB3470"/>
    <w:rsid w:val="00FB6813"/>
    <w:rsid w:val="00FC680E"/>
    <w:rsid w:val="00FC768D"/>
    <w:rsid w:val="00FD422E"/>
    <w:rsid w:val="00FE0948"/>
    <w:rsid w:val="00FE195D"/>
    <w:rsid w:val="00FE4374"/>
    <w:rsid w:val="00FE66DD"/>
    <w:rsid w:val="00FF09C6"/>
    <w:rsid w:val="00FF5D1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4530D"/>
    <w:pPr>
      <w:jc w:val="both"/>
    </w:pPr>
    <w:rPr>
      <w:sz w:val="22"/>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4530D"/>
    <w:pPr>
      <w:tabs>
        <w:tab w:val="center" w:pos="4419"/>
        <w:tab w:val="right" w:pos="8838"/>
      </w:tabs>
    </w:pPr>
  </w:style>
  <w:style w:type="character" w:customStyle="1" w:styleId="HeaderChar">
    <w:name w:val="Header Char"/>
    <w:basedOn w:val="DefaultParagraphFont"/>
    <w:link w:val="Header"/>
    <w:uiPriority w:val="99"/>
    <w:rsid w:val="0044530D"/>
    <w:rPr>
      <w:sz w:val="22"/>
      <w:szCs w:val="24"/>
      <w:lang w:val="en-GB" w:eastAsia="en-GB"/>
    </w:rPr>
  </w:style>
  <w:style w:type="paragraph" w:styleId="Footer">
    <w:name w:val="footer"/>
    <w:basedOn w:val="Normal"/>
    <w:link w:val="FooterChar"/>
    <w:rsid w:val="0044530D"/>
    <w:pPr>
      <w:tabs>
        <w:tab w:val="center" w:pos="4419"/>
        <w:tab w:val="right" w:pos="8838"/>
      </w:tabs>
    </w:pPr>
  </w:style>
  <w:style w:type="character" w:customStyle="1" w:styleId="FooterChar">
    <w:name w:val="Footer Char"/>
    <w:basedOn w:val="DefaultParagraphFont"/>
    <w:link w:val="Footer"/>
    <w:rsid w:val="0044530D"/>
    <w:rPr>
      <w:sz w:val="22"/>
      <w:szCs w:val="24"/>
      <w:lang w:val="en-GB"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23E051-FA56-4B76-B816-B8DEEB21E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Pages>
  <Words>1868</Words>
  <Characters>10213</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Bahamas</vt:lpstr>
    </vt:vector>
  </TitlesOfParts>
  <Company>United Nations ECLAC Port of Spain</Company>
  <LinksUpToDate>false</LinksUpToDate>
  <CharactersWithSpaces>12057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Bahamas</dc:title>
  <dc:creator>mhendrickson</dc:creator>
  <cp:lastModifiedBy>Valeria Gonzalez</cp:lastModifiedBy>
  <cp:revision>7</cp:revision>
  <cp:lastPrinted>2012-05-29T22:47:00Z</cp:lastPrinted>
  <dcterms:created xsi:type="dcterms:W3CDTF">2012-06-13T00:23:00Z</dcterms:created>
  <dcterms:modified xsi:type="dcterms:W3CDTF">2012-06-13T13:25:00Z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485475117</vt:i4>
  </property>
</Properties>
</file>