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947" w:rsidRPr="000F1DD9" w:rsidRDefault="003E4947" w:rsidP="004231A2">
      <w:pPr>
        <w:jc w:val="center"/>
        <w:rPr>
          <w:b/>
        </w:rPr>
      </w:pPr>
      <w:r w:rsidRPr="000F1DD9">
        <w:rPr>
          <w:b/>
        </w:rPr>
        <w:t>HONDURAS</w:t>
      </w:r>
    </w:p>
    <w:p w:rsidR="00AA3703" w:rsidRDefault="00AA3703" w:rsidP="00AA3703"/>
    <w:p w:rsidR="004231A2" w:rsidRDefault="004231A2" w:rsidP="00AA3703"/>
    <w:p w:rsidR="003E4947" w:rsidRPr="004231A2" w:rsidRDefault="004231A2" w:rsidP="004231A2">
      <w:pPr>
        <w:jc w:val="center"/>
        <w:rPr>
          <w:b/>
        </w:rPr>
      </w:pPr>
      <w:r>
        <w:rPr>
          <w:b/>
        </w:rPr>
        <w:t xml:space="preserve">1. </w:t>
      </w:r>
      <w:r w:rsidR="003E4947" w:rsidRPr="004231A2">
        <w:rPr>
          <w:b/>
        </w:rPr>
        <w:t>General trends</w:t>
      </w:r>
    </w:p>
    <w:p w:rsidR="004231A2" w:rsidRDefault="004231A2" w:rsidP="00AA3703"/>
    <w:p w:rsidR="003E4947" w:rsidRDefault="003E4947" w:rsidP="00AA3703">
      <w:r>
        <w:t xml:space="preserve">In 2011 the Honduran economy grew by 3.6% (versus 2.8% in 2010), driven by external demand. Inflation stood at 5.6%, which </w:t>
      </w:r>
      <w:r w:rsidR="00D2788F">
        <w:t>was</w:t>
      </w:r>
      <w:r>
        <w:t xml:space="preserve"> below </w:t>
      </w:r>
      <w:r w:rsidR="00D2788F">
        <w:t xml:space="preserve">both </w:t>
      </w:r>
      <w:r>
        <w:t xml:space="preserve">the 2010 level of 6.5% and the preliminary target set by the central bank. The central government fiscal deficit narrowed only </w:t>
      </w:r>
      <w:r w:rsidR="00D2788F">
        <w:t>slightly</w:t>
      </w:r>
      <w:r w:rsidR="00615298">
        <w:t xml:space="preserve">, </w:t>
      </w:r>
      <w:r w:rsidR="00D2788F">
        <w:t xml:space="preserve">however, </w:t>
      </w:r>
      <w:r w:rsidR="00615298">
        <w:t>from 4.8% to 4.6% of GDP</w:t>
      </w:r>
      <w:r w:rsidR="003F4C25">
        <w:t>,</w:t>
      </w:r>
      <w:r w:rsidR="00615298">
        <w:t xml:space="preserve"> while t</w:t>
      </w:r>
      <w:r>
        <w:t xml:space="preserve">he balance-of-payments current account deficit widened from 6.2% to 8.6% of GDP, owing to higher fuel prices among other factors. In July 2011 the central bank </w:t>
      </w:r>
      <w:r w:rsidR="00D2788F">
        <w:t>reinstated</w:t>
      </w:r>
      <w:r>
        <w:t xml:space="preserve"> the exchange-rate band and subsequently raised </w:t>
      </w:r>
      <w:r w:rsidR="00D2788F">
        <w:t>its</w:t>
      </w:r>
      <w:r>
        <w:t xml:space="preserve"> monetary policy rate </w:t>
      </w:r>
      <w:r w:rsidRPr="00D2788F">
        <w:t>by 100 basis points</w:t>
      </w:r>
      <w:r w:rsidR="00D2788F" w:rsidRPr="00D2788F">
        <w:t xml:space="preserve"> </w:t>
      </w:r>
      <w:r>
        <w:t xml:space="preserve">in order to </w:t>
      </w:r>
      <w:r w:rsidR="00D2788F">
        <w:t>safeguard the</w:t>
      </w:r>
      <w:r>
        <w:t xml:space="preserve"> external position. As a result, by year-end 2011 net international reserves had swelled by US$ 101.4 million.</w:t>
      </w:r>
    </w:p>
    <w:p w:rsidR="004231A2" w:rsidRDefault="004231A2" w:rsidP="00AA3703"/>
    <w:p w:rsidR="003E4947" w:rsidRDefault="004231A2" w:rsidP="00AA3703">
      <w:r>
        <w:tab/>
      </w:r>
      <w:r w:rsidR="00D2788F">
        <w:t>Lack</w:t>
      </w:r>
      <w:r w:rsidR="003E4947">
        <w:t xml:space="preserve"> of significant progress on reducing the fiscal deficit, despite higher tax receipts and a tighter monetary policy stance, </w:t>
      </w:r>
      <w:r w:rsidR="004B17AD">
        <w:t xml:space="preserve">precluded the extension of </w:t>
      </w:r>
      <w:r w:rsidR="003E4947">
        <w:t xml:space="preserve">the </w:t>
      </w:r>
      <w:r w:rsidR="004B17AD">
        <w:t>stand-by arrangement</w:t>
      </w:r>
      <w:r w:rsidR="003E4947">
        <w:t xml:space="preserve"> with the In</w:t>
      </w:r>
      <w:r w:rsidR="004B17AD">
        <w:t>ternational Monetary Fund (IMF)</w:t>
      </w:r>
      <w:r w:rsidR="003E4947">
        <w:t>, but negotiations may be re</w:t>
      </w:r>
      <w:r w:rsidR="00D2788F">
        <w:t>sumed</w:t>
      </w:r>
      <w:r w:rsidR="003E4947">
        <w:t xml:space="preserve"> in </w:t>
      </w:r>
      <w:r w:rsidR="00394F1C">
        <w:t>the third quarter of</w:t>
      </w:r>
      <w:r w:rsidR="003E4947">
        <w:t xml:space="preserve"> 2012. As a key element of its monetary programme, the central bank has set an inflation target range of 5.5%-7.5% for 2012. ECLAC forecasts economic growth of around 3.2% in 2012.</w:t>
      </w:r>
    </w:p>
    <w:p w:rsidR="004231A2" w:rsidRDefault="004231A2" w:rsidP="00AA3703"/>
    <w:p w:rsidR="004231A2" w:rsidRDefault="004231A2" w:rsidP="00AA3703"/>
    <w:p w:rsidR="00814B93" w:rsidRPr="004231A2" w:rsidRDefault="004231A2" w:rsidP="004231A2">
      <w:pPr>
        <w:jc w:val="center"/>
        <w:rPr>
          <w:b/>
        </w:rPr>
      </w:pPr>
      <w:r w:rsidRPr="004231A2">
        <w:rPr>
          <w:b/>
        </w:rPr>
        <w:t xml:space="preserve">2. </w:t>
      </w:r>
      <w:r w:rsidR="00814B93" w:rsidRPr="004231A2">
        <w:rPr>
          <w:b/>
        </w:rPr>
        <w:t>Economic policy</w:t>
      </w:r>
    </w:p>
    <w:p w:rsidR="004231A2" w:rsidRDefault="004231A2" w:rsidP="00AA3703">
      <w:pPr>
        <w:rPr>
          <w:b/>
        </w:rPr>
      </w:pPr>
    </w:p>
    <w:p w:rsidR="00814B93" w:rsidRPr="004231A2" w:rsidRDefault="00C70ABB" w:rsidP="00AA3703">
      <w:pPr>
        <w:rPr>
          <w:b/>
        </w:rPr>
      </w:pPr>
      <w:r>
        <w:rPr>
          <w:b/>
        </w:rPr>
        <w:t>(</w:t>
      </w:r>
      <w:r w:rsidR="004231A2">
        <w:rPr>
          <w:b/>
        </w:rPr>
        <w:t>a)</w:t>
      </w:r>
      <w:r w:rsidR="004231A2">
        <w:rPr>
          <w:b/>
        </w:rPr>
        <w:tab/>
      </w:r>
      <w:r w:rsidR="00814B93" w:rsidRPr="004231A2">
        <w:rPr>
          <w:b/>
        </w:rPr>
        <w:t>Fiscal policy</w:t>
      </w:r>
    </w:p>
    <w:p w:rsidR="004231A2" w:rsidRDefault="004231A2" w:rsidP="00AA3703"/>
    <w:p w:rsidR="00814B93" w:rsidRDefault="004231A2" w:rsidP="00AA3703">
      <w:r>
        <w:tab/>
      </w:r>
      <w:r w:rsidR="00814B93">
        <w:t xml:space="preserve">At year-end 2011, the central government posted a deficit of 15.298 billion </w:t>
      </w:r>
      <w:proofErr w:type="spellStart"/>
      <w:r w:rsidR="00814B93">
        <w:t>lempiras</w:t>
      </w:r>
      <w:proofErr w:type="spellEnd"/>
      <w:r w:rsidR="00814B93">
        <w:t xml:space="preserve">, equivalent to 4.6% of GDP (compared with 4.8% in 2010). Although the </w:t>
      </w:r>
      <w:r w:rsidR="004B17AD">
        <w:t>economic upswing</w:t>
      </w:r>
      <w:r w:rsidR="00814B93">
        <w:t xml:space="preserve"> </w:t>
      </w:r>
      <w:r w:rsidR="004B17AD">
        <w:t>and</w:t>
      </w:r>
      <w:r w:rsidR="00814B93">
        <w:t xml:space="preserve"> more efficient tax administration boosted total revenue by 12.7%, this was </w:t>
      </w:r>
      <w:r w:rsidR="00F944ED">
        <w:t>offset</w:t>
      </w:r>
      <w:r w:rsidR="00814B93">
        <w:t xml:space="preserve"> by a</w:t>
      </w:r>
      <w:r w:rsidR="004B17AD">
        <w:t xml:space="preserve"> 12.1% rise</w:t>
      </w:r>
      <w:r w:rsidR="00814B93">
        <w:t xml:space="preserve"> </w:t>
      </w:r>
      <w:r w:rsidR="004B17AD">
        <w:t>in expenditure</w:t>
      </w:r>
      <w:r w:rsidR="00814B93">
        <w:t xml:space="preserve"> and thus had little impact on the deficit in GDP terms.</w:t>
      </w:r>
    </w:p>
    <w:p w:rsidR="004231A2" w:rsidRDefault="004231A2" w:rsidP="00AA3703"/>
    <w:p w:rsidR="004322CB" w:rsidRDefault="004231A2" w:rsidP="00AA3703">
      <w:r>
        <w:tab/>
      </w:r>
      <w:r w:rsidR="00AC03F5">
        <w:t>Underlying the rise in tax receipts were efforts to strengthen</w:t>
      </w:r>
      <w:r w:rsidR="004322CB">
        <w:t xml:space="preserve"> the special </w:t>
      </w:r>
      <w:r w:rsidR="00AC03F5">
        <w:t xml:space="preserve">taxpayers </w:t>
      </w:r>
      <w:r w:rsidR="004322CB">
        <w:t xml:space="preserve">unit </w:t>
      </w:r>
      <w:r w:rsidR="00AC03F5">
        <w:t xml:space="preserve">in order </w:t>
      </w:r>
      <w:r w:rsidR="004322CB">
        <w:t xml:space="preserve">to </w:t>
      </w:r>
      <w:r w:rsidR="00AC03F5">
        <w:t>target</w:t>
      </w:r>
      <w:r w:rsidR="004322CB">
        <w:t xml:space="preserve"> resources and make collection from the country</w:t>
      </w:r>
      <w:r w:rsidR="007C0D8F">
        <w:t>’</w:t>
      </w:r>
      <w:r w:rsidR="004322CB">
        <w:t>s largest taxpayers more efficient</w:t>
      </w:r>
      <w:r w:rsidR="00AC03F5">
        <w:t>, as well as the</w:t>
      </w:r>
      <w:r w:rsidR="00770C52">
        <w:t xml:space="preserve"> implementation of new legislation for enhancing revenues, social equity and trimming public expenditure</w:t>
      </w:r>
      <w:r w:rsidR="00AC03F5">
        <w:t>,</w:t>
      </w:r>
      <w:r w:rsidR="00770C52">
        <w:t xml:space="preserve"> and the entry into force of the new public security law on 1 October 2011. This act includes a tax on withdrawals from </w:t>
      </w:r>
      <w:r w:rsidR="00AC03F5">
        <w:t xml:space="preserve">corporate </w:t>
      </w:r>
      <w:r w:rsidR="00770C52">
        <w:t xml:space="preserve">bank accounts with balances of over </w:t>
      </w:r>
      <w:r w:rsidR="00770C52" w:rsidRPr="009C4E52">
        <w:t xml:space="preserve">140,000 </w:t>
      </w:r>
      <w:proofErr w:type="spellStart"/>
      <w:r w:rsidR="009C4E52" w:rsidRPr="009C4E52">
        <w:t>lempiras</w:t>
      </w:r>
      <w:proofErr w:type="spellEnd"/>
      <w:r w:rsidR="00FD7073" w:rsidRPr="009C4E52">
        <w:t xml:space="preserve"> and</w:t>
      </w:r>
      <w:r w:rsidR="00FD7073">
        <w:t xml:space="preserve"> on credit cards with limits of over 40,</w:t>
      </w:r>
      <w:r w:rsidR="009C4E52">
        <w:t xml:space="preserve">000 </w:t>
      </w:r>
      <w:proofErr w:type="spellStart"/>
      <w:r w:rsidR="009C4E52">
        <w:t>lempiras</w:t>
      </w:r>
      <w:proofErr w:type="spellEnd"/>
      <w:r w:rsidR="009C4E52">
        <w:t>. T</w:t>
      </w:r>
      <w:r w:rsidR="00FD7073">
        <w:t>hese provisions</w:t>
      </w:r>
      <w:r w:rsidR="009C4E52">
        <w:t xml:space="preserve"> are expected</w:t>
      </w:r>
      <w:r w:rsidR="00FD7073">
        <w:t xml:space="preserve"> to generate an additional 2.2 billion </w:t>
      </w:r>
      <w:proofErr w:type="spellStart"/>
      <w:r w:rsidR="00FD7073">
        <w:t>lempiras</w:t>
      </w:r>
      <w:proofErr w:type="spellEnd"/>
      <w:r w:rsidR="00FD7073">
        <w:t xml:space="preserve"> in annualized terms.</w:t>
      </w:r>
    </w:p>
    <w:p w:rsidR="004231A2" w:rsidRDefault="004231A2" w:rsidP="00AA3703"/>
    <w:p w:rsidR="00FD7073" w:rsidRDefault="004231A2" w:rsidP="00AA3703">
      <w:r>
        <w:tab/>
      </w:r>
      <w:r w:rsidR="00FD7073">
        <w:t xml:space="preserve">Higher receipts took the tax burden to 15% in 2011 (slightly more than in 2010, when it was 14.8%). Income from grants fell once again, this time by 10.9%, following a </w:t>
      </w:r>
      <w:r w:rsidR="00AC03F5">
        <w:t>d</w:t>
      </w:r>
      <w:r w:rsidR="00FD7073">
        <w:t>ecline of 18.8% in 2010 (</w:t>
      </w:r>
      <w:r w:rsidR="00C70ABB">
        <w:t>to </w:t>
      </w:r>
      <w:r w:rsidR="00FD7073">
        <w:t xml:space="preserve">4.078 billion </w:t>
      </w:r>
      <w:proofErr w:type="spellStart"/>
      <w:r w:rsidR="00FD7073">
        <w:t>le</w:t>
      </w:r>
      <w:r w:rsidR="00355068">
        <w:t>mpiras</w:t>
      </w:r>
      <w:proofErr w:type="spellEnd"/>
      <w:r w:rsidR="00355068">
        <w:t xml:space="preserve">, or 1.7% </w:t>
      </w:r>
      <w:r w:rsidR="00FD7073">
        <w:t>of GDP).</w:t>
      </w:r>
    </w:p>
    <w:p w:rsidR="004231A2" w:rsidRDefault="004231A2" w:rsidP="00AA3703"/>
    <w:p w:rsidR="006274A7" w:rsidRDefault="004231A2" w:rsidP="00AA3703">
      <w:r>
        <w:tab/>
      </w:r>
      <w:r w:rsidR="006274A7">
        <w:t xml:space="preserve">Total expenditure stood at 72.223 billion </w:t>
      </w:r>
      <w:proofErr w:type="spellStart"/>
      <w:r w:rsidR="006274A7">
        <w:t>lempiras</w:t>
      </w:r>
      <w:proofErr w:type="spellEnd"/>
      <w:r w:rsidR="006274A7">
        <w:t xml:space="preserve"> (21.9% of GDP), very similar to </w:t>
      </w:r>
      <w:r w:rsidR="00AC03F5">
        <w:t>the</w:t>
      </w:r>
      <w:r w:rsidR="006274A7">
        <w:t xml:space="preserve"> 2010 </w:t>
      </w:r>
      <w:r w:rsidR="00AC03F5">
        <w:t xml:space="preserve">figure </w:t>
      </w:r>
      <w:r w:rsidR="006274A7">
        <w:t xml:space="preserve">(22.2% of GDP). Current expenditure continued to account for the </w:t>
      </w:r>
      <w:r w:rsidR="00AC03F5">
        <w:t>bulk</w:t>
      </w:r>
      <w:r w:rsidR="006274A7">
        <w:t xml:space="preserve"> of spending</w:t>
      </w:r>
      <w:r w:rsidR="00AC03F5">
        <w:t xml:space="preserve"> and the</w:t>
      </w:r>
      <w:r w:rsidR="006274A7">
        <w:t xml:space="preserve"> increase over </w:t>
      </w:r>
      <w:r w:rsidR="00AC03F5">
        <w:t>2010 reflected</w:t>
      </w:r>
      <w:r w:rsidR="006274A7">
        <w:t xml:space="preserve"> debt </w:t>
      </w:r>
      <w:r w:rsidR="00AC03F5">
        <w:t xml:space="preserve">service </w:t>
      </w:r>
      <w:r w:rsidR="006274A7">
        <w:t xml:space="preserve">amounting to 1.4% of GDP and a rise in current transfers to the rest of the public sector and to the private sector </w:t>
      </w:r>
      <w:r w:rsidR="00E46CA9">
        <w:t>for</w:t>
      </w:r>
      <w:r w:rsidR="006274A7">
        <w:t xml:space="preserve"> education, energy and urban transport</w:t>
      </w:r>
      <w:r w:rsidR="00E46CA9">
        <w:t xml:space="preserve"> subsidies</w:t>
      </w:r>
      <w:r w:rsidR="006274A7">
        <w:t>.</w:t>
      </w:r>
    </w:p>
    <w:p w:rsidR="00D7614B" w:rsidRDefault="00D7614B">
      <w:pPr>
        <w:jc w:val="left"/>
      </w:pPr>
      <w:r>
        <w:br w:type="page"/>
      </w:r>
    </w:p>
    <w:p w:rsidR="001E1C85" w:rsidRDefault="004231A2" w:rsidP="00AA3703">
      <w:r>
        <w:lastRenderedPageBreak/>
        <w:tab/>
      </w:r>
      <w:r w:rsidR="00E46CA9">
        <w:t>Borrowing</w:t>
      </w:r>
      <w:r w:rsidR="001E1C85">
        <w:t xml:space="preserve"> needs pushed central government domestic debt up by 28.5%, to 48.08 billion </w:t>
      </w:r>
      <w:proofErr w:type="spellStart"/>
      <w:r w:rsidR="001E1C85">
        <w:t>lempiras</w:t>
      </w:r>
      <w:proofErr w:type="spellEnd"/>
      <w:r w:rsidR="001E1C85">
        <w:t xml:space="preserve"> (14.6% of GDP)</w:t>
      </w:r>
      <w:r w:rsidR="003A2581">
        <w:t xml:space="preserve"> in late 2011, versus 12.9% in 2010. Of this debt, 42.3% is </w:t>
      </w:r>
      <w:r w:rsidR="009C4E52">
        <w:t>owed to</w:t>
      </w:r>
      <w:r w:rsidR="003A2581">
        <w:t xml:space="preserve"> the non-financial public sector, 29.2% </w:t>
      </w:r>
      <w:r w:rsidR="009C4E52">
        <w:t>to</w:t>
      </w:r>
      <w:r w:rsidR="003A2581">
        <w:t xml:space="preserve"> the financial sector</w:t>
      </w:r>
      <w:r w:rsidR="00860CED">
        <w:t>,</w:t>
      </w:r>
      <w:r w:rsidR="003A2581">
        <w:t xml:space="preserve"> </w:t>
      </w:r>
      <w:proofErr w:type="gramStart"/>
      <w:r w:rsidR="003A2581">
        <w:t>16</w:t>
      </w:r>
      <w:proofErr w:type="gramEnd"/>
      <w:r w:rsidR="003A2581">
        <w:t xml:space="preserve">% </w:t>
      </w:r>
      <w:r w:rsidR="009C4E52">
        <w:t>to</w:t>
      </w:r>
      <w:r w:rsidR="003A2581">
        <w:t xml:space="preserve"> the central bank and the remainder </w:t>
      </w:r>
      <w:r w:rsidR="009C4E52">
        <w:t>to</w:t>
      </w:r>
      <w:r w:rsidR="003A2581">
        <w:t xml:space="preserve"> other</w:t>
      </w:r>
      <w:r w:rsidR="00F311C8">
        <w:t>,</w:t>
      </w:r>
      <w:r w:rsidR="003A2581">
        <w:t xml:space="preserve"> non-financial</w:t>
      </w:r>
      <w:r w:rsidR="00F311C8">
        <w:t>,</w:t>
      </w:r>
      <w:r w:rsidR="003A2581">
        <w:t xml:space="preserve"> creditors. External </w:t>
      </w:r>
      <w:r w:rsidR="006562AA">
        <w:t>borrowing</w:t>
      </w:r>
      <w:r w:rsidR="003A2581">
        <w:t xml:space="preserve"> stood </w:t>
      </w:r>
      <w:r w:rsidR="006562AA">
        <w:t xml:space="preserve">at 19.3% of GDP (18.4% in 2010), with </w:t>
      </w:r>
      <w:r w:rsidR="003A2581">
        <w:t xml:space="preserve">multilateral </w:t>
      </w:r>
      <w:r w:rsidR="006562AA">
        <w:t>entities holding the largest share (</w:t>
      </w:r>
      <w:r w:rsidR="003A2581">
        <w:t>64%</w:t>
      </w:r>
      <w:r w:rsidR="006562AA">
        <w:t>)</w:t>
      </w:r>
      <w:r w:rsidR="003A2581">
        <w:t xml:space="preserve"> </w:t>
      </w:r>
      <w:r w:rsidR="006562AA">
        <w:t xml:space="preserve">and the </w:t>
      </w:r>
      <w:proofErr w:type="gramStart"/>
      <w:r w:rsidR="006562AA">
        <w:t>rest corresponding</w:t>
      </w:r>
      <w:proofErr w:type="gramEnd"/>
      <w:r w:rsidR="006562AA">
        <w:t xml:space="preserve"> to </w:t>
      </w:r>
      <w:r w:rsidR="003A2581">
        <w:t>bilateral and commercial debt.</w:t>
      </w:r>
    </w:p>
    <w:p w:rsidR="004231A2" w:rsidRDefault="004231A2" w:rsidP="00AA3703"/>
    <w:p w:rsidR="00860CED" w:rsidRDefault="004231A2" w:rsidP="00AA3703">
      <w:r>
        <w:tab/>
      </w:r>
      <w:r w:rsidR="00EE665E">
        <w:t xml:space="preserve">The combined public sector (which includes the central government, decentralized bodies, public institutions, local government, non-financial public companies and the central bank operating </w:t>
      </w:r>
      <w:r w:rsidR="006562AA">
        <w:t>balance</w:t>
      </w:r>
      <w:r w:rsidR="00EE665E">
        <w:t>) posted a deficit of 2.8%, just under the 2010 figure of 2.9%</w:t>
      </w:r>
      <w:r w:rsidR="006562AA">
        <w:t xml:space="preserve">, as the </w:t>
      </w:r>
      <w:r w:rsidR="00EE665E">
        <w:t>negative impact of the central government deficit was partially offset by</w:t>
      </w:r>
      <w:r w:rsidR="00953AB7">
        <w:t xml:space="preserve"> </w:t>
      </w:r>
      <w:r w:rsidR="005A412C">
        <w:t xml:space="preserve">financial surpluses in the public </w:t>
      </w:r>
      <w:r w:rsidR="00953AB7">
        <w:t>pension fund</w:t>
      </w:r>
      <w:r w:rsidR="005A412C">
        <w:t>s</w:t>
      </w:r>
      <w:r w:rsidR="00EE665E">
        <w:t>.</w:t>
      </w:r>
    </w:p>
    <w:p w:rsidR="004231A2" w:rsidRDefault="004231A2" w:rsidP="00AA3703"/>
    <w:p w:rsidR="005E6F39" w:rsidRPr="00C70ABB" w:rsidRDefault="00C70ABB" w:rsidP="00AA3703">
      <w:pPr>
        <w:rPr>
          <w:b/>
        </w:rPr>
      </w:pPr>
      <w:r w:rsidRPr="00C70ABB">
        <w:rPr>
          <w:b/>
        </w:rPr>
        <w:t>(</w:t>
      </w:r>
      <w:r w:rsidR="004231A2" w:rsidRPr="00C70ABB">
        <w:rPr>
          <w:b/>
        </w:rPr>
        <w:t>b)</w:t>
      </w:r>
      <w:r w:rsidR="004231A2" w:rsidRPr="00C70ABB">
        <w:rPr>
          <w:b/>
        </w:rPr>
        <w:tab/>
      </w:r>
      <w:r w:rsidR="005E6F39" w:rsidRPr="00C70ABB">
        <w:rPr>
          <w:b/>
        </w:rPr>
        <w:t>Monetary, exchange-rate and financial policy</w:t>
      </w:r>
    </w:p>
    <w:p w:rsidR="004231A2" w:rsidRDefault="004231A2" w:rsidP="00AA3703"/>
    <w:p w:rsidR="005E6F39" w:rsidRDefault="004231A2" w:rsidP="00AA3703">
      <w:r>
        <w:tab/>
      </w:r>
      <w:r w:rsidR="005E6F39">
        <w:t xml:space="preserve">Central bank policy continued to </w:t>
      </w:r>
      <w:r w:rsidR="006562AA">
        <w:t>be directed towards preserving the currency</w:t>
      </w:r>
      <w:r w:rsidR="007C0D8F">
        <w:t>’</w:t>
      </w:r>
      <w:r w:rsidR="006562AA">
        <w:t>s domestic and external value.</w:t>
      </w:r>
      <w:r w:rsidR="007C0D8F">
        <w:t xml:space="preserve"> </w:t>
      </w:r>
      <w:r w:rsidR="006562AA">
        <w:t xml:space="preserve">Accordingly, during </w:t>
      </w:r>
      <w:r w:rsidR="005E6F39">
        <w:t xml:space="preserve">2011 the bank </w:t>
      </w:r>
      <w:r w:rsidR="006562AA">
        <w:t>stepped up</w:t>
      </w:r>
      <w:r w:rsidR="005E6F39">
        <w:t xml:space="preserve"> its open-market operations in order to </w:t>
      </w:r>
      <w:r w:rsidR="006562AA">
        <w:t xml:space="preserve">tighten </w:t>
      </w:r>
      <w:r w:rsidR="005E6F39">
        <w:t xml:space="preserve">domestic </w:t>
      </w:r>
      <w:r w:rsidR="006562AA">
        <w:t>liquidity</w:t>
      </w:r>
      <w:r w:rsidR="005E6F39">
        <w:t xml:space="preserve">, foster price stability and boost net international reserves. The monetary policy rate was raised by 50 basis points in </w:t>
      </w:r>
      <w:r w:rsidR="006562AA">
        <w:t xml:space="preserve">both </w:t>
      </w:r>
      <w:r w:rsidR="005E6F39">
        <w:t>September and</w:t>
      </w:r>
      <w:r w:rsidR="003345F3">
        <w:t xml:space="preserve"> </w:t>
      </w:r>
      <w:r w:rsidR="005E6F39">
        <w:t>November, and stood at 5.5% at year-end 2011.</w:t>
      </w:r>
      <w:r w:rsidR="006066C9">
        <w:t xml:space="preserve"> In order to </w:t>
      </w:r>
      <w:r w:rsidR="009C4E52">
        <w:t>shield</w:t>
      </w:r>
      <w:r w:rsidR="006066C9">
        <w:t xml:space="preserve"> the external position </w:t>
      </w:r>
      <w:r w:rsidR="006562AA">
        <w:t>from</w:t>
      </w:r>
      <w:r w:rsidR="006066C9">
        <w:t xml:space="preserve"> uncertainty in the international financial markets, the central bank reinstated the system of exchange-rate bands that had been in force from 1994 to January 2006.</w:t>
      </w:r>
    </w:p>
    <w:p w:rsidR="004231A2" w:rsidRDefault="004231A2" w:rsidP="00AA3703"/>
    <w:p w:rsidR="004E26AA" w:rsidRDefault="00C70ABB" w:rsidP="00AA3703">
      <w:r>
        <w:tab/>
      </w:r>
      <w:r w:rsidR="004E26AA">
        <w:t xml:space="preserve">As a result, the </w:t>
      </w:r>
      <w:r w:rsidR="001F6524">
        <w:t>currency</w:t>
      </w:r>
      <w:r w:rsidR="004E26AA">
        <w:t xml:space="preserve"> closed the year with a slight nominal depreciation of 0.83</w:t>
      </w:r>
      <w:r w:rsidR="001F6524">
        <w:t>%, while in real terms it</w:t>
      </w:r>
      <w:r w:rsidR="004E26AA">
        <w:t xml:space="preserve"> depreciated by 0.9% (compared with real</w:t>
      </w:r>
      <w:r w:rsidR="00F123E8">
        <w:t xml:space="preserve"> appreciation of 3.8% in 2010).</w:t>
      </w:r>
    </w:p>
    <w:p w:rsidR="00C70ABB" w:rsidRDefault="00C70ABB" w:rsidP="00AA3703"/>
    <w:p w:rsidR="007B3F69" w:rsidRDefault="00C70ABB" w:rsidP="00AA3703">
      <w:r>
        <w:tab/>
      </w:r>
      <w:r w:rsidR="007B3F69">
        <w:t xml:space="preserve">Inflation stood at 5.6% at year-end 2011, </w:t>
      </w:r>
      <w:r w:rsidR="009C4E52">
        <w:t xml:space="preserve">reflecting tighter </w:t>
      </w:r>
      <w:r w:rsidR="007B3F69">
        <w:t>liquidity and the central bank</w:t>
      </w:r>
      <w:r w:rsidR="007C0D8F">
        <w:t>’</w:t>
      </w:r>
      <w:r w:rsidR="007B3F69">
        <w:t xml:space="preserve">s </w:t>
      </w:r>
      <w:r w:rsidR="009C4E52">
        <w:t xml:space="preserve">use of the exchange-rate anchor through foreign exchange </w:t>
      </w:r>
      <w:r w:rsidR="007B3F69">
        <w:t xml:space="preserve">market </w:t>
      </w:r>
      <w:r w:rsidR="009C4E52">
        <w:t>interventions</w:t>
      </w:r>
      <w:r w:rsidR="007B3F69">
        <w:t>.</w:t>
      </w:r>
    </w:p>
    <w:p w:rsidR="00C70ABB" w:rsidRDefault="00C70ABB" w:rsidP="00AA3703"/>
    <w:p w:rsidR="007B3F69" w:rsidRDefault="00C70ABB" w:rsidP="00AA3703">
      <w:r>
        <w:tab/>
      </w:r>
      <w:r w:rsidR="00F76D55">
        <w:t xml:space="preserve">To December 2011, </w:t>
      </w:r>
      <w:r w:rsidR="000C1F3E">
        <w:t>credit</w:t>
      </w:r>
      <w:r w:rsidR="00F76D55">
        <w:t xml:space="preserve"> assets in the financial system amounted to 158.389 billion </w:t>
      </w:r>
      <w:proofErr w:type="spellStart"/>
      <w:r w:rsidR="00F76D55">
        <w:t>lempiras</w:t>
      </w:r>
      <w:proofErr w:type="spellEnd"/>
      <w:r w:rsidR="00F76D55">
        <w:t xml:space="preserve"> (74.6% of which were extended in </w:t>
      </w:r>
      <w:proofErr w:type="spellStart"/>
      <w:r w:rsidR="00F76D55">
        <w:t>lempiras</w:t>
      </w:r>
      <w:proofErr w:type="spellEnd"/>
      <w:r w:rsidR="00F76D55">
        <w:t xml:space="preserve"> and the remainder in U</w:t>
      </w:r>
      <w:r w:rsidR="000C1F3E">
        <w:t xml:space="preserve">nited </w:t>
      </w:r>
      <w:r w:rsidR="00F76D55">
        <w:t>S</w:t>
      </w:r>
      <w:r w:rsidR="000C1F3E">
        <w:t>tates</w:t>
      </w:r>
      <w:r w:rsidR="00F76D55">
        <w:t xml:space="preserve"> dollars). Total credit therefore grew by 10.4% versus 3.5% at year-end 2010.</w:t>
      </w:r>
    </w:p>
    <w:p w:rsidR="00C70ABB" w:rsidRDefault="00C70ABB" w:rsidP="00AA3703"/>
    <w:p w:rsidR="00F76D55" w:rsidRDefault="00C70ABB" w:rsidP="00AA3703">
      <w:r>
        <w:tab/>
      </w:r>
      <w:r w:rsidR="000C1F3E">
        <w:t>H</w:t>
      </w:r>
      <w:r w:rsidR="00F76D55">
        <w:t>ousehold lending represented the lion</w:t>
      </w:r>
      <w:r w:rsidR="007C0D8F">
        <w:t>’</w:t>
      </w:r>
      <w:r w:rsidR="00F76D55">
        <w:t>s share of this portfolio at 54.4%</w:t>
      </w:r>
      <w:r w:rsidR="000C1F3E">
        <w:t xml:space="preserve"> in December 2011</w:t>
      </w:r>
      <w:r w:rsidR="00F76D55">
        <w:t>, up 3.1 percentage points on the late</w:t>
      </w:r>
      <w:r w:rsidR="000C1F3E">
        <w:t>-</w:t>
      </w:r>
      <w:r w:rsidR="00F76D55">
        <w:t>2010</w:t>
      </w:r>
      <w:r w:rsidR="000C1F3E">
        <w:t xml:space="preserve"> figure</w:t>
      </w:r>
      <w:r w:rsidR="00F76D55">
        <w:t xml:space="preserve">. </w:t>
      </w:r>
      <w:r w:rsidR="000C1F3E">
        <w:t>As a corollary, lending to business</w:t>
      </w:r>
      <w:r w:rsidR="00F76D55">
        <w:t xml:space="preserve"> and the non-financial public sector slipped to 45.6% of the total. Of particular note is the increase in lending to local governments, in particular municipalities.</w:t>
      </w:r>
    </w:p>
    <w:p w:rsidR="00F76D55" w:rsidRDefault="000C1F3E" w:rsidP="00AA3703">
      <w:r>
        <w:t>The</w:t>
      </w:r>
      <w:r w:rsidR="00F76D55">
        <w:t xml:space="preserve"> efforts to maintain financial stability</w:t>
      </w:r>
      <w:r>
        <w:t xml:space="preserve"> also helped to secure an improvement in the country</w:t>
      </w:r>
      <w:r w:rsidR="007C0D8F">
        <w:t>’</w:t>
      </w:r>
      <w:r>
        <w:t xml:space="preserve">s international credit rating in </w:t>
      </w:r>
      <w:r w:rsidR="00F76D55">
        <w:t>2011.</w:t>
      </w:r>
    </w:p>
    <w:p w:rsidR="009C4E52" w:rsidRDefault="009C4E52" w:rsidP="00AA3703"/>
    <w:p w:rsidR="00F76D55" w:rsidRPr="00C70ABB" w:rsidRDefault="00C70ABB" w:rsidP="00AA3703">
      <w:pPr>
        <w:rPr>
          <w:b/>
        </w:rPr>
      </w:pPr>
      <w:r w:rsidRPr="00C70ABB">
        <w:rPr>
          <w:b/>
        </w:rPr>
        <w:t>(c)</w:t>
      </w:r>
      <w:r w:rsidRPr="00C70ABB">
        <w:rPr>
          <w:b/>
        </w:rPr>
        <w:tab/>
      </w:r>
      <w:r w:rsidR="00F76D55" w:rsidRPr="00C70ABB">
        <w:rPr>
          <w:b/>
        </w:rPr>
        <w:t>Trade policy</w:t>
      </w:r>
    </w:p>
    <w:p w:rsidR="00C70ABB" w:rsidRDefault="00C70ABB" w:rsidP="00AA3703"/>
    <w:p w:rsidR="00F76D55" w:rsidRDefault="00C70ABB" w:rsidP="00AA3703">
      <w:r>
        <w:tab/>
      </w:r>
      <w:r w:rsidR="00DD1F9A">
        <w:t>W</w:t>
      </w:r>
      <w:r w:rsidR="00F76D55">
        <w:t>ith a view to gaining access to new markets and attracting foreign investment</w:t>
      </w:r>
      <w:r w:rsidR="000C1F3E">
        <w:t xml:space="preserve">, </w:t>
      </w:r>
      <w:r w:rsidR="00DD1F9A">
        <w:t xml:space="preserve">Honduras continued to engage in regional negotiations, </w:t>
      </w:r>
      <w:r w:rsidR="000C1F3E">
        <w:t>including talks on</w:t>
      </w:r>
      <w:r w:rsidR="00F76D55">
        <w:t xml:space="preserve"> the single free trade agreement with Mexico</w:t>
      </w:r>
      <w:r w:rsidR="00DD1F9A">
        <w:t>. T</w:t>
      </w:r>
      <w:r w:rsidR="000C1F3E">
        <w:t>he focus of current efforts</w:t>
      </w:r>
      <w:r w:rsidR="00DD1F9A">
        <w:t xml:space="preserve"> is</w:t>
      </w:r>
      <w:r w:rsidR="000C1F3E">
        <w:t xml:space="preserve"> </w:t>
      </w:r>
      <w:r w:rsidR="00F76D55">
        <w:t>the imminent entry into force of the Association Agreement with the European Union, which was negotiated in May 2010 and whose final texts are due to be signed in Tegucigalpa in late June 2012.</w:t>
      </w:r>
    </w:p>
    <w:p w:rsidR="00F76D55" w:rsidRDefault="00F76D55" w:rsidP="00AA3703"/>
    <w:p w:rsidR="0011681E" w:rsidRDefault="0011681E">
      <w:pPr>
        <w:jc w:val="left"/>
      </w:pPr>
      <w:r>
        <w:br w:type="page"/>
      </w:r>
    </w:p>
    <w:p w:rsidR="00F76D55" w:rsidRPr="0011681E" w:rsidRDefault="0011681E" w:rsidP="0011681E">
      <w:pPr>
        <w:jc w:val="center"/>
        <w:rPr>
          <w:b/>
        </w:rPr>
      </w:pPr>
      <w:r w:rsidRPr="0011681E">
        <w:rPr>
          <w:b/>
        </w:rPr>
        <w:lastRenderedPageBreak/>
        <w:t xml:space="preserve">3. </w:t>
      </w:r>
      <w:r w:rsidR="00F76D55" w:rsidRPr="0011681E">
        <w:rPr>
          <w:b/>
        </w:rPr>
        <w:t>The main variables</w:t>
      </w:r>
    </w:p>
    <w:p w:rsidR="0011681E" w:rsidRDefault="0011681E" w:rsidP="00AA3703"/>
    <w:p w:rsidR="00F76D55" w:rsidRPr="0011681E" w:rsidRDefault="0011681E" w:rsidP="00AA3703">
      <w:pPr>
        <w:rPr>
          <w:b/>
        </w:rPr>
      </w:pPr>
      <w:r>
        <w:rPr>
          <w:b/>
        </w:rPr>
        <w:t>(a)</w:t>
      </w:r>
      <w:r w:rsidRPr="0011681E">
        <w:rPr>
          <w:b/>
        </w:rPr>
        <w:tab/>
      </w:r>
      <w:r w:rsidR="00F76D55" w:rsidRPr="0011681E">
        <w:rPr>
          <w:b/>
        </w:rPr>
        <w:t>Economic activity</w:t>
      </w:r>
    </w:p>
    <w:p w:rsidR="0011681E" w:rsidRDefault="0011681E" w:rsidP="00AA3703"/>
    <w:p w:rsidR="00F76D55" w:rsidRDefault="0011681E" w:rsidP="00AA3703">
      <w:r>
        <w:tab/>
      </w:r>
      <w:r w:rsidR="00FB4926">
        <w:t>Real GDP gr</w:t>
      </w:r>
      <w:r w:rsidR="00DD1F9A">
        <w:t>owth of 3.6% in 2011 reflected s</w:t>
      </w:r>
      <w:r w:rsidR="00FB4926">
        <w:t xml:space="preserve">trong export </w:t>
      </w:r>
      <w:r w:rsidR="00DD1F9A">
        <w:t>growth of</w:t>
      </w:r>
      <w:r w:rsidR="00FB4926">
        <w:t xml:space="preserve"> 25.5% versus 19% in 2010</w:t>
      </w:r>
      <w:r w:rsidR="00DD1F9A">
        <w:t xml:space="preserve">. Export value exceeded </w:t>
      </w:r>
      <w:r w:rsidR="00FB4926">
        <w:t>US$ 7.2 billion and account</w:t>
      </w:r>
      <w:r w:rsidR="00DD1F9A">
        <w:t>ed</w:t>
      </w:r>
      <w:r w:rsidR="00FB4926">
        <w:t xml:space="preserve"> for 41.4% of GDP. Domestic demand was also up by 6.1%, driven by an upturn of 3.4% in private final consumption</w:t>
      </w:r>
      <w:r w:rsidR="00DD1F9A">
        <w:t xml:space="preserve"> (</w:t>
      </w:r>
      <w:r w:rsidR="00FB4926">
        <w:t>compared with 2.4% in 2010</w:t>
      </w:r>
      <w:r w:rsidR="00DD1F9A">
        <w:t>)</w:t>
      </w:r>
      <w:r w:rsidR="00FB4926">
        <w:t xml:space="preserve">. </w:t>
      </w:r>
      <w:r w:rsidR="00DD1F9A">
        <w:t>Rising</w:t>
      </w:r>
      <w:r w:rsidR="00FB4926">
        <w:t xml:space="preserve"> foreign </w:t>
      </w:r>
      <w:r w:rsidR="00480563">
        <w:t>investment</w:t>
      </w:r>
      <w:r w:rsidR="00DD1F9A">
        <w:t xml:space="preserve"> pushed up</w:t>
      </w:r>
      <w:r w:rsidR="00480563">
        <w:t xml:space="preserve"> </w:t>
      </w:r>
      <w:r w:rsidR="00DD1F9A">
        <w:t xml:space="preserve">private-sector </w:t>
      </w:r>
      <w:r w:rsidR="00480563">
        <w:t xml:space="preserve">gross fixed capital formation by 15.2%, </w:t>
      </w:r>
      <w:r w:rsidR="00DD1F9A">
        <w:t>well above the rate of</w:t>
      </w:r>
      <w:r w:rsidR="00480563">
        <w:t xml:space="preserve"> 5.1% in 2010. </w:t>
      </w:r>
      <w:r w:rsidR="00DD1F9A">
        <w:t>Public investment continued to climb w</w:t>
      </w:r>
      <w:r w:rsidR="00480563">
        <w:t xml:space="preserve">ith support </w:t>
      </w:r>
      <w:r w:rsidR="00DD1F9A">
        <w:t>from</w:t>
      </w:r>
      <w:r w:rsidR="00480563">
        <w:t xml:space="preserve"> multilateral </w:t>
      </w:r>
      <w:r w:rsidR="00DD1F9A">
        <w:t>agencies</w:t>
      </w:r>
      <w:r w:rsidR="00480563">
        <w:t xml:space="preserve">, </w:t>
      </w:r>
      <w:r w:rsidR="00DD1F9A">
        <w:t>but</w:t>
      </w:r>
      <w:r w:rsidR="00480563">
        <w:t xml:space="preserve"> </w:t>
      </w:r>
      <w:r w:rsidR="00DD1F9A">
        <w:t>still slackened</w:t>
      </w:r>
      <w:r w:rsidR="00480563">
        <w:t xml:space="preserve"> in relation to the previous year</w:t>
      </w:r>
      <w:r w:rsidR="00DD1F9A">
        <w:t xml:space="preserve"> (up 8</w:t>
      </w:r>
      <w:r w:rsidR="00480563">
        <w:t>.9% versus 19% in 2010</w:t>
      </w:r>
      <w:r w:rsidR="00DD1F9A">
        <w:t>)</w:t>
      </w:r>
      <w:r w:rsidR="00480563">
        <w:t>.</w:t>
      </w:r>
    </w:p>
    <w:p w:rsidR="0011681E" w:rsidRDefault="0011681E" w:rsidP="00AA3703"/>
    <w:p w:rsidR="00480563" w:rsidRDefault="0011681E" w:rsidP="00AA3703">
      <w:r>
        <w:tab/>
      </w:r>
      <w:r w:rsidR="00480563">
        <w:t xml:space="preserve">GDP </w:t>
      </w:r>
      <w:r w:rsidR="00DD1F9A">
        <w:t xml:space="preserve">growth reflected an upturn across </w:t>
      </w:r>
      <w:r w:rsidR="00480563">
        <w:t xml:space="preserve">most of the productive sectors. </w:t>
      </w:r>
      <w:r w:rsidR="00DD1F9A">
        <w:t>The c</w:t>
      </w:r>
      <w:r w:rsidR="00480563">
        <w:t>ommunications sector</w:t>
      </w:r>
      <w:r w:rsidR="00DD1F9A">
        <w:t xml:space="preserve"> stood out with growth of </w:t>
      </w:r>
      <w:r w:rsidR="00480563">
        <w:t>10.7% (versus 8.6% in 2010)</w:t>
      </w:r>
      <w:r w:rsidR="00DD1F9A">
        <w:t xml:space="preserve"> on the back of higher </w:t>
      </w:r>
      <w:r w:rsidR="00480563">
        <w:t>foreign investment.</w:t>
      </w:r>
      <w:r w:rsidR="007B1C6A">
        <w:t xml:space="preserve"> Manufacturing expanded by 4.2%, a slight increase on the 4% recorded in 2010. The sector comprising agriculture, livestock, hunting, forestry and fishing grew by 5.</w:t>
      </w:r>
      <w:r w:rsidR="00DD1F9A">
        <w:t>6% (compared with 1.8% in 2010), mainly thanks</w:t>
      </w:r>
      <w:r w:rsidR="007B1C6A">
        <w:t xml:space="preserve"> to </w:t>
      </w:r>
      <w:r w:rsidR="00DD1F9A">
        <w:t>stronger</w:t>
      </w:r>
      <w:r w:rsidR="007B1C6A">
        <w:t xml:space="preserve"> production and export</w:t>
      </w:r>
      <w:r w:rsidR="00DD1F9A">
        <w:t>s</w:t>
      </w:r>
      <w:r w:rsidR="007B1C6A">
        <w:t xml:space="preserve"> of coffee and marine products. </w:t>
      </w:r>
      <w:r w:rsidR="00DD1F9A">
        <w:t xml:space="preserve">Overall, </w:t>
      </w:r>
      <w:r w:rsidR="007B1C6A">
        <w:t xml:space="preserve">trade </w:t>
      </w:r>
      <w:r w:rsidR="00DD1F9A">
        <w:t xml:space="preserve">was up </w:t>
      </w:r>
      <w:r w:rsidR="007B1C6A">
        <w:t>by 4% (compared with 3.2% in 2010).</w:t>
      </w:r>
      <w:r w:rsidR="001B5C0A">
        <w:t xml:space="preserve"> With credit more readily available, the construction industry registered growth of 4%, in sharp contrast to the 6.7% </w:t>
      </w:r>
      <w:r w:rsidR="00DD1F9A">
        <w:t xml:space="preserve">downturn </w:t>
      </w:r>
      <w:r w:rsidR="001B5C0A">
        <w:t>observed in 2010.</w:t>
      </w:r>
    </w:p>
    <w:p w:rsidR="0011681E" w:rsidRDefault="0011681E" w:rsidP="00AA3703"/>
    <w:p w:rsidR="00171884" w:rsidRPr="0011681E" w:rsidRDefault="0011681E" w:rsidP="00AA3703">
      <w:pPr>
        <w:rPr>
          <w:b/>
        </w:rPr>
      </w:pPr>
      <w:r w:rsidRPr="0011681E">
        <w:rPr>
          <w:b/>
        </w:rPr>
        <w:t>(b)</w:t>
      </w:r>
      <w:r w:rsidRPr="0011681E">
        <w:rPr>
          <w:b/>
        </w:rPr>
        <w:tab/>
      </w:r>
      <w:r w:rsidR="00171884" w:rsidRPr="0011681E">
        <w:rPr>
          <w:b/>
        </w:rPr>
        <w:t>Prices, wages and employment</w:t>
      </w:r>
    </w:p>
    <w:p w:rsidR="0011681E" w:rsidRDefault="0011681E" w:rsidP="00AA3703"/>
    <w:p w:rsidR="00171884" w:rsidRDefault="0011681E" w:rsidP="00AA3703">
      <w:r>
        <w:tab/>
      </w:r>
      <w:r w:rsidR="00171884">
        <w:t xml:space="preserve">As </w:t>
      </w:r>
      <w:r w:rsidR="009C4E52">
        <w:t>noted</w:t>
      </w:r>
      <w:r w:rsidR="00171884">
        <w:t>, year-on-year inflation stood at 5.6</w:t>
      </w:r>
      <w:r w:rsidR="00311F62">
        <w:t>%</w:t>
      </w:r>
      <w:r w:rsidR="00171884">
        <w:t xml:space="preserve"> in late 2011. </w:t>
      </w:r>
      <w:r w:rsidR="00E91554">
        <w:t>The category comprising h</w:t>
      </w:r>
      <w:r w:rsidR="00171884">
        <w:t xml:space="preserve">ousing, electricity, gas and other fuels </w:t>
      </w:r>
      <w:r w:rsidR="00E91554">
        <w:t>was the largest single contributor</w:t>
      </w:r>
      <w:r w:rsidR="00DD1F9A">
        <w:t xml:space="preserve"> </w:t>
      </w:r>
      <w:r w:rsidR="00E91554">
        <w:t>to</w:t>
      </w:r>
      <w:r w:rsidR="00DD1F9A">
        <w:t xml:space="preserve"> the rise in the consumer price index</w:t>
      </w:r>
      <w:r w:rsidR="00E91554">
        <w:t xml:space="preserve"> (with 24.3%)</w:t>
      </w:r>
      <w:r w:rsidR="00DD1F9A">
        <w:t xml:space="preserve">, </w:t>
      </w:r>
      <w:r w:rsidR="00E91554">
        <w:t>owing mainly to higher rent and electricity costs</w:t>
      </w:r>
      <w:r w:rsidR="0062484A">
        <w:t xml:space="preserve">. Other </w:t>
      </w:r>
      <w:r w:rsidR="00E91554">
        <w:t xml:space="preserve">large contributors to consumer inflation </w:t>
      </w:r>
      <w:r w:rsidR="0062484A">
        <w:t>were transport (21.8%) and food and non-alcoholic beverages (18%).</w:t>
      </w:r>
    </w:p>
    <w:p w:rsidR="0011681E" w:rsidRDefault="0011681E" w:rsidP="00AA3703"/>
    <w:p w:rsidR="00DC2DEC" w:rsidRDefault="0011681E" w:rsidP="00AA3703">
      <w:r>
        <w:tab/>
      </w:r>
      <w:r w:rsidR="00DC2DEC">
        <w:t xml:space="preserve">The government approved an increase in the minimum monthly wage from 1 January 2011, based on a formula that </w:t>
      </w:r>
      <w:r w:rsidR="00E01AE4">
        <w:t>includes</w:t>
      </w:r>
      <w:r w:rsidR="00DC2DEC">
        <w:t xml:space="preserve"> the 2010 rates of economic growth and inflation</w:t>
      </w:r>
      <w:r w:rsidR="00E91554">
        <w:t xml:space="preserve"> (</w:t>
      </w:r>
      <w:r w:rsidR="00DC2DEC">
        <w:t>2.8% and 6.5%, respectively</w:t>
      </w:r>
      <w:r w:rsidR="00E91554">
        <w:t>)</w:t>
      </w:r>
      <w:r w:rsidR="00DC2DEC">
        <w:t xml:space="preserve">. </w:t>
      </w:r>
      <w:r w:rsidR="00E01AE4">
        <w:t>As a result, the</w:t>
      </w:r>
      <w:r w:rsidR="00DC2DEC">
        <w:t xml:space="preserve"> minimum monthly wage rose from 5,565 </w:t>
      </w:r>
      <w:proofErr w:type="spellStart"/>
      <w:r w:rsidR="00DC2DEC">
        <w:t>lempiras</w:t>
      </w:r>
      <w:proofErr w:type="spellEnd"/>
      <w:r w:rsidR="00DC2DEC">
        <w:t xml:space="preserve"> in 2010 to 6,122 </w:t>
      </w:r>
      <w:proofErr w:type="spellStart"/>
      <w:r w:rsidR="00DC2DEC">
        <w:t>lempiras</w:t>
      </w:r>
      <w:proofErr w:type="spellEnd"/>
      <w:r w:rsidR="00DC2DEC">
        <w:t xml:space="preserve"> in 2011.</w:t>
      </w:r>
    </w:p>
    <w:p w:rsidR="0011681E" w:rsidRDefault="0011681E" w:rsidP="00AA3703"/>
    <w:p w:rsidR="00B964AA" w:rsidRDefault="0011681E" w:rsidP="00AA3703">
      <w:r>
        <w:tab/>
      </w:r>
      <w:r w:rsidR="00B964AA">
        <w:t>According to the permanent multipurpose household survey conduc</w:t>
      </w:r>
      <w:r w:rsidR="000F1DD9">
        <w:t xml:space="preserve">ted by the national statistical </w:t>
      </w:r>
      <w:r w:rsidR="00B964AA">
        <w:t xml:space="preserve">office, the open unemployment rate stood 4.3% at the end of May 2011, compared with 3.9% </w:t>
      </w:r>
      <w:r w:rsidR="000F1DD9">
        <w:br/>
      </w:r>
      <w:r w:rsidR="00E01AE4">
        <w:t>12</w:t>
      </w:r>
      <w:r w:rsidR="00B964AA">
        <w:t xml:space="preserve"> months earlier.</w:t>
      </w:r>
    </w:p>
    <w:p w:rsidR="0011681E" w:rsidRDefault="0011681E" w:rsidP="00AA3703"/>
    <w:p w:rsidR="008401C8" w:rsidRPr="0011681E" w:rsidRDefault="0011681E" w:rsidP="00AA3703">
      <w:pPr>
        <w:rPr>
          <w:b/>
        </w:rPr>
      </w:pPr>
      <w:r w:rsidRPr="0011681E">
        <w:rPr>
          <w:b/>
        </w:rPr>
        <w:t>(c)</w:t>
      </w:r>
      <w:r w:rsidRPr="0011681E">
        <w:rPr>
          <w:b/>
        </w:rPr>
        <w:tab/>
      </w:r>
      <w:r w:rsidR="008401C8" w:rsidRPr="0011681E">
        <w:rPr>
          <w:b/>
        </w:rPr>
        <w:t>The external sector</w:t>
      </w:r>
    </w:p>
    <w:p w:rsidR="0011681E" w:rsidRDefault="0011681E" w:rsidP="00AA3703"/>
    <w:p w:rsidR="008401C8" w:rsidRDefault="0011681E" w:rsidP="00AA3703">
      <w:r>
        <w:tab/>
      </w:r>
      <w:r w:rsidR="00E01AE4">
        <w:t>The value of g</w:t>
      </w:r>
      <w:r w:rsidR="006620B8">
        <w:t xml:space="preserve">oods </w:t>
      </w:r>
      <w:r w:rsidR="00E01AE4">
        <w:t xml:space="preserve">exports </w:t>
      </w:r>
      <w:r w:rsidR="006620B8">
        <w:t xml:space="preserve">reached US$ 7.204 billion </w:t>
      </w:r>
      <w:r w:rsidR="00E01AE4">
        <w:t xml:space="preserve">in 2011 </w:t>
      </w:r>
      <w:r w:rsidR="006620B8">
        <w:t xml:space="preserve">(up 25.5% on the 2010 figures), </w:t>
      </w:r>
      <w:r w:rsidR="00E01AE4">
        <w:t>reflecting higher volumes thanks to the upturn in external demand and, es</w:t>
      </w:r>
      <w:r w:rsidR="006620B8">
        <w:t>pecially, higher prices for coffee, sugar and other traditional export</w:t>
      </w:r>
      <w:r w:rsidR="00E01AE4">
        <w:t xml:space="preserve"> product</w:t>
      </w:r>
      <w:r w:rsidR="006620B8">
        <w:t>s. The value of exports equated to 41.4% of GDP, versus 37.3% in 2010.</w:t>
      </w:r>
    </w:p>
    <w:p w:rsidR="0011681E" w:rsidRDefault="0011681E" w:rsidP="00AA3703"/>
    <w:p w:rsidR="006620B8" w:rsidRDefault="0011681E" w:rsidP="00AA3703">
      <w:r>
        <w:tab/>
      </w:r>
      <w:r w:rsidR="00E01AE4">
        <w:t>With average coffee prices up</w:t>
      </w:r>
      <w:r w:rsidR="006620B8">
        <w:t xml:space="preserve"> </w:t>
      </w:r>
      <w:r w:rsidR="00E01AE4">
        <w:t xml:space="preserve">by </w:t>
      </w:r>
      <w:r w:rsidR="006620B8">
        <w:t xml:space="preserve">59.8% and </w:t>
      </w:r>
      <w:r w:rsidR="00E01AE4">
        <w:t>sales volumes by</w:t>
      </w:r>
      <w:r w:rsidR="006620B8">
        <w:t xml:space="preserve"> 19%, Honduras </w:t>
      </w:r>
      <w:r w:rsidR="00E01AE4">
        <w:t xml:space="preserve">was </w:t>
      </w:r>
      <w:r w:rsidR="006620B8">
        <w:t xml:space="preserve">the </w:t>
      </w:r>
      <w:r w:rsidR="00E01AE4">
        <w:t>region</w:t>
      </w:r>
      <w:r w:rsidR="007C0D8F">
        <w:t>’</w:t>
      </w:r>
      <w:r w:rsidR="00E01AE4">
        <w:t xml:space="preserve">s largest </w:t>
      </w:r>
      <w:r w:rsidR="006620B8">
        <w:t xml:space="preserve">coffee exporter with sales of US$ 1.377 billion. Sales of palm oil, bananas and farmed shrimp also climbed significantly. The value of </w:t>
      </w:r>
      <w:r w:rsidR="00237791">
        <w:t xml:space="preserve">intermediate </w:t>
      </w:r>
      <w:r w:rsidR="006620B8">
        <w:t xml:space="preserve">goods exports stood at 3.29 billion </w:t>
      </w:r>
      <w:proofErr w:type="spellStart"/>
      <w:r w:rsidR="006620B8">
        <w:t>lempiras</w:t>
      </w:r>
      <w:proofErr w:type="spellEnd"/>
      <w:r w:rsidR="006620B8">
        <w:t>, as opposed to 2.979 billion in 2010</w:t>
      </w:r>
      <w:r w:rsidR="00237791">
        <w:t>,</w:t>
      </w:r>
      <w:r w:rsidR="006620B8">
        <w:t xml:space="preserve"> </w:t>
      </w:r>
      <w:r w:rsidR="00237791">
        <w:t>thanks to higher</w:t>
      </w:r>
      <w:r w:rsidR="006620B8">
        <w:t xml:space="preserve"> </w:t>
      </w:r>
      <w:r w:rsidR="00237791">
        <w:t xml:space="preserve">sales of </w:t>
      </w:r>
      <w:r w:rsidR="006620B8">
        <w:t xml:space="preserve">textiles to the United States and </w:t>
      </w:r>
      <w:r w:rsidR="00564A1F">
        <w:t>vehicle ignition wiring se</w:t>
      </w:r>
      <w:r w:rsidR="00237791">
        <w:t>ts to automotive firms in Mexico.</w:t>
      </w:r>
    </w:p>
    <w:p w:rsidR="0011681E" w:rsidRDefault="0011681E">
      <w:pPr>
        <w:jc w:val="left"/>
      </w:pPr>
      <w:r>
        <w:br w:type="page"/>
      </w:r>
    </w:p>
    <w:p w:rsidR="00335A5C" w:rsidRDefault="0011681E" w:rsidP="00AA3703">
      <w:r>
        <w:lastRenderedPageBreak/>
        <w:tab/>
      </w:r>
      <w:r w:rsidR="00335A5C">
        <w:t xml:space="preserve">Imports stood at US$ 10.337 billion, up 20.9% over 2010. The largest increase was seen in fuel, lubricants and electrical energy, which rose by US$ 2.104 billion </w:t>
      </w:r>
      <w:r w:rsidR="00162B56">
        <w:t>owing mainly</w:t>
      </w:r>
      <w:r w:rsidR="00335A5C">
        <w:t xml:space="preserve"> to higher prices. </w:t>
      </w:r>
      <w:r w:rsidR="00162B56">
        <w:t>Imports of manufacturing inputs also showed substantial growth</w:t>
      </w:r>
      <w:r w:rsidR="00335A5C">
        <w:t xml:space="preserve">. </w:t>
      </w:r>
      <w:r w:rsidR="00162B56">
        <w:t>The fastest-growing import</w:t>
      </w:r>
      <w:r w:rsidR="009C4E52">
        <w:t xml:space="preserve"> category</w:t>
      </w:r>
      <w:r w:rsidR="00162B56">
        <w:t>, however, was ca</w:t>
      </w:r>
      <w:r w:rsidR="00335A5C">
        <w:t>pital goods</w:t>
      </w:r>
      <w:r w:rsidR="00162B56">
        <w:t xml:space="preserve"> (</w:t>
      </w:r>
      <w:r w:rsidR="00335A5C">
        <w:t>36%</w:t>
      </w:r>
      <w:r w:rsidR="00162B56">
        <w:t>)</w:t>
      </w:r>
      <w:r w:rsidR="00335A5C">
        <w:t>, in particular wind generators for clean energy projects.</w:t>
      </w:r>
    </w:p>
    <w:p w:rsidR="0011681E" w:rsidRDefault="0011681E" w:rsidP="00AA3703"/>
    <w:p w:rsidR="00C52C92" w:rsidRDefault="0011681E" w:rsidP="00AA3703">
      <w:r>
        <w:tab/>
      </w:r>
      <w:r w:rsidR="00C52C92">
        <w:t xml:space="preserve">Family remittances </w:t>
      </w:r>
      <w:r w:rsidR="00133CAC">
        <w:t xml:space="preserve">recorded </w:t>
      </w:r>
      <w:r w:rsidR="00C52C92">
        <w:t>moderate growth</w:t>
      </w:r>
      <w:r w:rsidR="00133CAC">
        <w:t xml:space="preserve"> again, rising by 7.8% to reach US$ 2.978 billion, but fell as a percentage of </w:t>
      </w:r>
      <w:r w:rsidR="00C52C92">
        <w:t>GDP from 16.8% in 2010 to 16.1% in 2011.</w:t>
      </w:r>
    </w:p>
    <w:p w:rsidR="0011681E" w:rsidRDefault="0011681E" w:rsidP="00AA3703"/>
    <w:p w:rsidR="00177960" w:rsidRDefault="0011681E" w:rsidP="00AA3703">
      <w:r>
        <w:tab/>
      </w:r>
      <w:r w:rsidR="00177960">
        <w:t xml:space="preserve">Despite </w:t>
      </w:r>
      <w:r w:rsidR="00133CAC">
        <w:t>the dynamic</w:t>
      </w:r>
      <w:r w:rsidR="00177960">
        <w:t xml:space="preserve"> export </w:t>
      </w:r>
      <w:r w:rsidR="00133CAC">
        <w:t>performance</w:t>
      </w:r>
      <w:r w:rsidR="00177960">
        <w:t>, the balance-of-payments current account deficit widen</w:t>
      </w:r>
      <w:r w:rsidR="00133CAC">
        <w:t>ed again,</w:t>
      </w:r>
      <w:r w:rsidR="00177960">
        <w:t xml:space="preserve"> from 6.2% in GDP in 2010 to 8.6% </w:t>
      </w:r>
      <w:r w:rsidR="00133CAC">
        <w:t>at end-</w:t>
      </w:r>
      <w:r w:rsidR="00177960">
        <w:t>2011, owing to rising imports and weak growth in remittances.</w:t>
      </w:r>
    </w:p>
    <w:p w:rsidR="0011681E" w:rsidRDefault="0011681E" w:rsidP="00AA3703"/>
    <w:p w:rsidR="00DE2836" w:rsidRDefault="0011681E" w:rsidP="00AA3703">
      <w:r>
        <w:tab/>
      </w:r>
      <w:r w:rsidR="00DE2836">
        <w:t>A more positive political climate and an upgrade in the country</w:t>
      </w:r>
      <w:r w:rsidR="007C0D8F">
        <w:t>’</w:t>
      </w:r>
      <w:r w:rsidR="00DE2836">
        <w:t>s risk rating</w:t>
      </w:r>
      <w:r w:rsidR="003A655F">
        <w:rPr>
          <w:rStyle w:val="FootnoteReference"/>
          <w:sz w:val="24"/>
          <w:szCs w:val="24"/>
        </w:rPr>
        <w:footnoteReference w:id="1"/>
      </w:r>
      <w:r w:rsidR="00DE2836">
        <w:t xml:space="preserve"> </w:t>
      </w:r>
      <w:r w:rsidR="00133CAC">
        <w:t>underpinned</w:t>
      </w:r>
      <w:r w:rsidR="00DE2836">
        <w:t xml:space="preserve"> a jump in foreign direct investment to US$ 1.008 billion, or 5.8% of GDP. </w:t>
      </w:r>
      <w:r w:rsidR="00133CAC">
        <w:t>N</w:t>
      </w:r>
      <w:r w:rsidR="00DE2836">
        <w:t>ew investments</w:t>
      </w:r>
      <w:r w:rsidR="00133CAC">
        <w:t xml:space="preserve"> went mainly to </w:t>
      </w:r>
      <w:r w:rsidR="00DE2836">
        <w:t xml:space="preserve">wind energy, </w:t>
      </w:r>
      <w:proofErr w:type="spellStart"/>
      <w:r w:rsidR="00DE2836">
        <w:t>maquila</w:t>
      </w:r>
      <w:proofErr w:type="spellEnd"/>
      <w:r w:rsidR="00DE2836">
        <w:t xml:space="preserve"> and the communications sector. Th</w:t>
      </w:r>
      <w:r w:rsidR="00133CAC">
        <w:t xml:space="preserve">e foreign direct investment </w:t>
      </w:r>
      <w:r w:rsidR="00DE2836">
        <w:t xml:space="preserve">figure may also include some repatriation of capital. In addition, foreign lines of credit </w:t>
      </w:r>
      <w:r w:rsidR="009B2AD4">
        <w:t xml:space="preserve">showed a small net increase from </w:t>
      </w:r>
      <w:r w:rsidR="002A6961">
        <w:t>US$ </w:t>
      </w:r>
      <w:r w:rsidR="00DE2836">
        <w:t>463.4 million in 2010 to US$ 540.1 million in 2011.</w:t>
      </w:r>
    </w:p>
    <w:p w:rsidR="0011681E" w:rsidRDefault="0011681E" w:rsidP="00AA3703"/>
    <w:p w:rsidR="007061BD" w:rsidRDefault="0011681E" w:rsidP="00AA3703">
      <w:r>
        <w:tab/>
      </w:r>
      <w:r w:rsidR="007061BD">
        <w:t>As a result of foreign trade and monetary and exchange-rate policy</w:t>
      </w:r>
      <w:r w:rsidR="009B2AD4">
        <w:t xml:space="preserve"> interventions</w:t>
      </w:r>
      <w:r w:rsidR="007061BD">
        <w:t>, at year-end 2011 net international reserves had swelled by US$ 101.4 million in comparison with 2010.</w:t>
      </w:r>
    </w:p>
    <w:p w:rsidR="007061BD" w:rsidRDefault="007061BD" w:rsidP="00AA3703"/>
    <w:p w:rsidR="00593311" w:rsidRDefault="00593311" w:rsidP="00AA3703"/>
    <w:p w:rsidR="007061BD" w:rsidRPr="000F1DD9" w:rsidRDefault="000F1DD9" w:rsidP="000F1DD9">
      <w:pPr>
        <w:jc w:val="center"/>
        <w:rPr>
          <w:b/>
        </w:rPr>
      </w:pPr>
      <w:r w:rsidRPr="000F1DD9">
        <w:rPr>
          <w:b/>
        </w:rPr>
        <w:t xml:space="preserve">4. </w:t>
      </w:r>
      <w:r w:rsidR="0080740A" w:rsidRPr="000F1DD9">
        <w:rPr>
          <w:b/>
        </w:rPr>
        <w:t>First quarter of 2012: general trends</w:t>
      </w:r>
    </w:p>
    <w:p w:rsidR="000F1DD9" w:rsidRPr="007061BD" w:rsidRDefault="000F1DD9" w:rsidP="00AA3703"/>
    <w:p w:rsidR="007061BD" w:rsidRDefault="007061BD" w:rsidP="00AA3703">
      <w:r>
        <w:t xml:space="preserve">ECLAC forecasts that the Honduran economy could grow by 3.2% in 2012, </w:t>
      </w:r>
      <w:r w:rsidR="009C4E52">
        <w:t>in view of</w:t>
      </w:r>
      <w:r>
        <w:t xml:space="preserve"> central bank efforts to maintain stability and </w:t>
      </w:r>
      <w:r w:rsidR="009C4E52">
        <w:t>the</w:t>
      </w:r>
      <w:r>
        <w:t xml:space="preserve"> possib</w:t>
      </w:r>
      <w:r w:rsidR="009C4E52">
        <w:t>ility of slacker</w:t>
      </w:r>
      <w:r>
        <w:t xml:space="preserve"> external demand during the second half of 2012. The</w:t>
      </w:r>
      <w:r w:rsidR="009B2AD4">
        <w:t xml:space="preserve"> monetary authorities set</w:t>
      </w:r>
      <w:r>
        <w:t xml:space="preserve"> </w:t>
      </w:r>
      <w:r w:rsidR="009B2AD4">
        <w:t xml:space="preserve">the </w:t>
      </w:r>
      <w:r>
        <w:t>target range for inflation at 5.5%-7.5%</w:t>
      </w:r>
      <w:r w:rsidR="009B2AD4">
        <w:t xml:space="preserve"> for 2012</w:t>
      </w:r>
      <w:r>
        <w:t>.</w:t>
      </w:r>
    </w:p>
    <w:p w:rsidR="000F1DD9" w:rsidRDefault="000F1DD9" w:rsidP="00AA3703"/>
    <w:p w:rsidR="007061BD" w:rsidRDefault="000F1DD9" w:rsidP="00AA3703">
      <w:r>
        <w:tab/>
      </w:r>
      <w:r w:rsidR="007061BD">
        <w:t>At the end of March year-on-year inflation stood at 5.7%, with a cumulative rate of 3.1%</w:t>
      </w:r>
      <w:r w:rsidR="009B2AD4">
        <w:t xml:space="preserve">, lowering </w:t>
      </w:r>
      <w:r w:rsidR="007061BD">
        <w:t xml:space="preserve">expectations </w:t>
      </w:r>
      <w:r w:rsidR="009B2AD4">
        <w:t>that the inflation target would be met</w:t>
      </w:r>
      <w:r w:rsidR="007061BD">
        <w:t xml:space="preserve"> at the end of 2012.</w:t>
      </w:r>
    </w:p>
    <w:p w:rsidR="000F1DD9" w:rsidRDefault="000F1DD9" w:rsidP="00AA3703"/>
    <w:p w:rsidR="00753329" w:rsidRDefault="000F1DD9" w:rsidP="00AA3703">
      <w:r>
        <w:tab/>
      </w:r>
      <w:r w:rsidR="00753329">
        <w:t xml:space="preserve">Given the </w:t>
      </w:r>
      <w:r w:rsidR="009B2AD4">
        <w:t>trend in</w:t>
      </w:r>
      <w:r w:rsidR="00753329">
        <w:t xml:space="preserve"> inflation, the open-market operations </w:t>
      </w:r>
      <w:r w:rsidR="009B2AD4">
        <w:t>committee</w:t>
      </w:r>
      <w:r w:rsidR="007C0D8F">
        <w:t>’</w:t>
      </w:r>
      <w:r w:rsidR="009B2AD4">
        <w:t>s recommendations to the central bank board</w:t>
      </w:r>
      <w:r w:rsidR="00753329">
        <w:t xml:space="preserve"> </w:t>
      </w:r>
      <w:r w:rsidR="009B2AD4">
        <w:t>included</w:t>
      </w:r>
      <w:r w:rsidR="00753329">
        <w:t xml:space="preserve"> </w:t>
      </w:r>
      <w:r w:rsidR="009B2AD4">
        <w:t xml:space="preserve">two rises in the monetary policy rate, which </w:t>
      </w:r>
      <w:r w:rsidR="00C50813">
        <w:t>accordingly</w:t>
      </w:r>
      <w:r w:rsidR="009B2AD4">
        <w:t xml:space="preserve"> increased to</w:t>
      </w:r>
      <w:r w:rsidR="00753329">
        <w:t xml:space="preserve"> 7% </w:t>
      </w:r>
      <w:r w:rsidR="009B2AD4">
        <w:t xml:space="preserve">as </w:t>
      </w:r>
      <w:r w:rsidR="009C4E52">
        <w:t>from</w:t>
      </w:r>
      <w:r w:rsidR="00753329">
        <w:t xml:space="preserve"> 14 May. This </w:t>
      </w:r>
      <w:r w:rsidR="009B2AD4">
        <w:t xml:space="preserve">course was aimed at easing </w:t>
      </w:r>
      <w:r w:rsidR="00753329">
        <w:t xml:space="preserve">inflationary pressures generated by rising aggregate </w:t>
      </w:r>
      <w:r w:rsidR="009B2AD4">
        <w:t xml:space="preserve">domestic </w:t>
      </w:r>
      <w:r w:rsidR="00753329">
        <w:t xml:space="preserve">demand </w:t>
      </w:r>
      <w:r w:rsidR="009B2AD4">
        <w:t xml:space="preserve">and </w:t>
      </w:r>
      <w:r w:rsidR="009C4E52">
        <w:t>steadying the value of the lempira</w:t>
      </w:r>
      <w:r w:rsidR="00753329">
        <w:t>.</w:t>
      </w:r>
    </w:p>
    <w:p w:rsidR="000F1DD9" w:rsidRDefault="000F1DD9" w:rsidP="00AA3703"/>
    <w:p w:rsidR="00886E75" w:rsidRDefault="000F1DD9" w:rsidP="00AA3703">
      <w:r>
        <w:tab/>
      </w:r>
      <w:r w:rsidR="0070071D">
        <w:t>In view of the</w:t>
      </w:r>
      <w:r w:rsidR="00886E75">
        <w:t xml:space="preserve"> stabilization efforts and the slowdown in external demand </w:t>
      </w:r>
      <w:r w:rsidR="0070071D">
        <w:t>expected in</w:t>
      </w:r>
      <w:r w:rsidR="00886E75">
        <w:t xml:space="preserve"> the second </w:t>
      </w:r>
      <w:r w:rsidR="0070071D">
        <w:t>semester</w:t>
      </w:r>
      <w:r w:rsidR="00886E75">
        <w:t xml:space="preserve">, the central bank </w:t>
      </w:r>
      <w:r w:rsidR="0070071D">
        <w:t>forecasts</w:t>
      </w:r>
      <w:r w:rsidR="00886E75">
        <w:t xml:space="preserve"> </w:t>
      </w:r>
      <w:r w:rsidR="0070071D">
        <w:t>a</w:t>
      </w:r>
      <w:r w:rsidR="00886E75">
        <w:t xml:space="preserve"> current account deficit </w:t>
      </w:r>
      <w:r w:rsidR="0070071D">
        <w:t>of</w:t>
      </w:r>
      <w:r w:rsidR="00886E75">
        <w:t xml:space="preserve"> 8.8% of GDP</w:t>
      </w:r>
      <w:r w:rsidR="0070071D">
        <w:t xml:space="preserve"> at the end of the year</w:t>
      </w:r>
      <w:r w:rsidR="00886E75">
        <w:t>.</w:t>
      </w:r>
    </w:p>
    <w:p w:rsidR="000F1DD9" w:rsidRDefault="000F1DD9" w:rsidP="00AA3703"/>
    <w:p w:rsidR="002A3878" w:rsidRDefault="000F1DD9" w:rsidP="00AA3703">
      <w:r>
        <w:tab/>
      </w:r>
      <w:r w:rsidR="002A3878">
        <w:t xml:space="preserve">In the first quarter, exports </w:t>
      </w:r>
      <w:r w:rsidR="0070071D">
        <w:t>were up</w:t>
      </w:r>
      <w:r w:rsidR="002A3878">
        <w:t xml:space="preserve"> by 13.9% </w:t>
      </w:r>
      <w:r w:rsidR="0070071D">
        <w:t>over the year-earlier period</w:t>
      </w:r>
      <w:r w:rsidR="002A3878">
        <w:t xml:space="preserve">, </w:t>
      </w:r>
      <w:r w:rsidR="0070071D">
        <w:t xml:space="preserve">at </w:t>
      </w:r>
      <w:r w:rsidR="002A3878">
        <w:t>US$ 1.3 billion. The value of imports was US$ 2.356 billion</w:t>
      </w:r>
      <w:r w:rsidR="0070071D">
        <w:t>, making t</w:t>
      </w:r>
      <w:r w:rsidR="002A3878">
        <w:t xml:space="preserve">he trade deficit US$ 1.057 billion, 10.9% </w:t>
      </w:r>
      <w:r w:rsidR="0070071D">
        <w:t>larger than</w:t>
      </w:r>
      <w:r w:rsidR="002A3878">
        <w:t xml:space="preserve"> </w:t>
      </w:r>
      <w:r w:rsidR="0070071D">
        <w:t xml:space="preserve">in </w:t>
      </w:r>
      <w:r w:rsidR="002A3878">
        <w:t>first</w:t>
      </w:r>
      <w:r w:rsidR="0070071D">
        <w:t>-</w:t>
      </w:r>
      <w:r w:rsidR="002A3878">
        <w:t>quarter 2011.</w:t>
      </w:r>
    </w:p>
    <w:p w:rsidR="000F1DD9" w:rsidRDefault="000F1DD9" w:rsidP="00AA3703"/>
    <w:p w:rsidR="003E4947" w:rsidRPr="003E4947" w:rsidRDefault="000F1DD9" w:rsidP="00AA3703">
      <w:r>
        <w:tab/>
      </w:r>
      <w:r w:rsidR="00A26C0A">
        <w:t xml:space="preserve">On the fiscal front, </w:t>
      </w:r>
      <w:r w:rsidR="0070071D">
        <w:t>fresh</w:t>
      </w:r>
      <w:r w:rsidR="00A26C0A">
        <w:t xml:space="preserve"> efforts </w:t>
      </w:r>
      <w:r w:rsidR="0070071D">
        <w:t>are likely to be made t</w:t>
      </w:r>
      <w:r w:rsidR="00A26C0A">
        <w:t>o reduce the central government deficit to 3.7% of GDP</w:t>
      </w:r>
      <w:r w:rsidR="0070071D">
        <w:t xml:space="preserve"> in line with </w:t>
      </w:r>
      <w:r w:rsidR="009C4E52">
        <w:t>IMF</w:t>
      </w:r>
      <w:r w:rsidR="00A26C0A">
        <w:t xml:space="preserve"> </w:t>
      </w:r>
      <w:r w:rsidR="009C4E52">
        <w:t>recommendations</w:t>
      </w:r>
      <w:r w:rsidR="00A26C0A">
        <w:t xml:space="preserve">, since the government has expressed </w:t>
      </w:r>
      <w:r w:rsidR="0070071D">
        <w:t>a wish to continue talks with the Fund</w:t>
      </w:r>
      <w:r w:rsidR="00A26C0A">
        <w:t xml:space="preserve"> during the third quarter of 2012.</w:t>
      </w:r>
    </w:p>
    <w:sectPr w:rsidR="003E4947" w:rsidRPr="003E4947" w:rsidSect="00AA3703">
      <w:headerReference w:type="default" r:id="rId8"/>
      <w:pgSz w:w="12242" w:h="15842" w:code="1"/>
      <w:pgMar w:top="1939" w:right="1440" w:bottom="1440" w:left="1440" w:header="113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DD9" w:rsidRDefault="000F1DD9" w:rsidP="003A655F">
      <w:r>
        <w:separator/>
      </w:r>
    </w:p>
  </w:endnote>
  <w:endnote w:type="continuationSeparator" w:id="0">
    <w:p w:rsidR="000F1DD9" w:rsidRDefault="000F1DD9" w:rsidP="003A6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DD9" w:rsidRDefault="000F1DD9" w:rsidP="003A655F">
      <w:r>
        <w:separator/>
      </w:r>
    </w:p>
  </w:footnote>
  <w:footnote w:type="continuationSeparator" w:id="0">
    <w:p w:rsidR="000F1DD9" w:rsidRDefault="000F1DD9" w:rsidP="003A655F">
      <w:r>
        <w:continuationSeparator/>
      </w:r>
    </w:p>
  </w:footnote>
  <w:footnote w:id="1">
    <w:p w:rsidR="000F1DD9" w:rsidRPr="000F1DD9" w:rsidRDefault="000F1DD9" w:rsidP="000F1DD9">
      <w:pPr>
        <w:pStyle w:val="FootnoteText"/>
        <w:ind w:left="284" w:hanging="284"/>
      </w:pPr>
      <w:r w:rsidRPr="000F1DD9">
        <w:rPr>
          <w:rStyle w:val="FootnoteReference"/>
        </w:rPr>
        <w:footnoteRef/>
      </w:r>
      <w:r w:rsidRPr="000F1DD9">
        <w:t xml:space="preserve"> </w:t>
      </w:r>
      <w:r>
        <w:tab/>
      </w:r>
      <w:r w:rsidRPr="000F1DD9">
        <w:t xml:space="preserve">Standard and </w:t>
      </w:r>
      <w:proofErr w:type="gramStart"/>
      <w:r w:rsidRPr="000F1DD9">
        <w:t>Poor’s</w:t>
      </w:r>
      <w:proofErr w:type="gramEnd"/>
      <w:r w:rsidRPr="000F1DD9">
        <w:t xml:space="preserve"> raised Honduras’ credit rating from B to B+ in June 2011 and </w:t>
      </w:r>
      <w:proofErr w:type="spellStart"/>
      <w:r w:rsidRPr="000F1DD9">
        <w:rPr>
          <w:i/>
        </w:rPr>
        <w:t>Euromoney</w:t>
      </w:r>
      <w:proofErr w:type="spellEnd"/>
      <w:r w:rsidRPr="000F1DD9">
        <w:t xml:space="preserve"> reported in its March edition that Honduras had moved up 34 places in the country risk rankings.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16144"/>
      <w:docPartObj>
        <w:docPartGallery w:val="Page Numbers (Top of Page)"/>
        <w:docPartUnique/>
      </w:docPartObj>
    </w:sdtPr>
    <w:sdtContent>
      <w:p w:rsidR="000F1DD9" w:rsidRDefault="0055476B" w:rsidP="004231A2">
        <w:pPr>
          <w:pStyle w:val="Header"/>
          <w:jc w:val="center"/>
        </w:pPr>
        <w:fldSimple w:instr=" PAGE   \* MERGEFORMAT ">
          <w:r w:rsidR="001F6524">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741C6"/>
    <w:multiLevelType w:val="hybridMultilevel"/>
    <w:tmpl w:val="BD4224AA"/>
    <w:lvl w:ilvl="0" w:tplc="41CEEB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2F45F0"/>
    <w:multiLevelType w:val="hybridMultilevel"/>
    <w:tmpl w:val="CF34B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AED2B17"/>
    <w:multiLevelType w:val="hybridMultilevel"/>
    <w:tmpl w:val="9A621EA4"/>
    <w:lvl w:ilvl="0" w:tplc="20720E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3861EC"/>
    <w:rsid w:val="00034CE7"/>
    <w:rsid w:val="0007152B"/>
    <w:rsid w:val="000C1F3E"/>
    <w:rsid w:val="000C3820"/>
    <w:rsid w:val="000F1DD9"/>
    <w:rsid w:val="00105C92"/>
    <w:rsid w:val="0011681E"/>
    <w:rsid w:val="00133CAC"/>
    <w:rsid w:val="00162B56"/>
    <w:rsid w:val="00171884"/>
    <w:rsid w:val="00177960"/>
    <w:rsid w:val="001B5C0A"/>
    <w:rsid w:val="001D29E1"/>
    <w:rsid w:val="001E1C85"/>
    <w:rsid w:val="001F5714"/>
    <w:rsid w:val="001F6524"/>
    <w:rsid w:val="00214484"/>
    <w:rsid w:val="00237791"/>
    <w:rsid w:val="002A3878"/>
    <w:rsid w:val="002A6961"/>
    <w:rsid w:val="00311F62"/>
    <w:rsid w:val="003345F3"/>
    <w:rsid w:val="00335A5C"/>
    <w:rsid w:val="00355068"/>
    <w:rsid w:val="003861EC"/>
    <w:rsid w:val="00394F1C"/>
    <w:rsid w:val="003A2581"/>
    <w:rsid w:val="003A655F"/>
    <w:rsid w:val="003B16F0"/>
    <w:rsid w:val="003E4947"/>
    <w:rsid w:val="003F4C25"/>
    <w:rsid w:val="004052CA"/>
    <w:rsid w:val="004231A2"/>
    <w:rsid w:val="004322CB"/>
    <w:rsid w:val="00465EA8"/>
    <w:rsid w:val="00480563"/>
    <w:rsid w:val="004B17AD"/>
    <w:rsid w:val="004E26AA"/>
    <w:rsid w:val="00501910"/>
    <w:rsid w:val="00523A2A"/>
    <w:rsid w:val="0055476B"/>
    <w:rsid w:val="00564A1F"/>
    <w:rsid w:val="00593311"/>
    <w:rsid w:val="005A412C"/>
    <w:rsid w:val="005E6F39"/>
    <w:rsid w:val="006066C9"/>
    <w:rsid w:val="00615298"/>
    <w:rsid w:val="0062484A"/>
    <w:rsid w:val="006274A7"/>
    <w:rsid w:val="006550BF"/>
    <w:rsid w:val="006562AA"/>
    <w:rsid w:val="006620B8"/>
    <w:rsid w:val="006A14A3"/>
    <w:rsid w:val="0070071D"/>
    <w:rsid w:val="00705CF7"/>
    <w:rsid w:val="007061BD"/>
    <w:rsid w:val="00753329"/>
    <w:rsid w:val="00770C52"/>
    <w:rsid w:val="0077731B"/>
    <w:rsid w:val="007B1C6A"/>
    <w:rsid w:val="007B3F69"/>
    <w:rsid w:val="007C0D8F"/>
    <w:rsid w:val="007E06CA"/>
    <w:rsid w:val="0080740A"/>
    <w:rsid w:val="00814B93"/>
    <w:rsid w:val="008401C8"/>
    <w:rsid w:val="00857050"/>
    <w:rsid w:val="00860CED"/>
    <w:rsid w:val="00886E75"/>
    <w:rsid w:val="008A32F2"/>
    <w:rsid w:val="008D32C0"/>
    <w:rsid w:val="00953AB7"/>
    <w:rsid w:val="0095661B"/>
    <w:rsid w:val="009B2AD4"/>
    <w:rsid w:val="009C4E52"/>
    <w:rsid w:val="00A26C0A"/>
    <w:rsid w:val="00A35538"/>
    <w:rsid w:val="00AA3703"/>
    <w:rsid w:val="00AC03F5"/>
    <w:rsid w:val="00AD1DA8"/>
    <w:rsid w:val="00B40147"/>
    <w:rsid w:val="00B575A5"/>
    <w:rsid w:val="00B60191"/>
    <w:rsid w:val="00B964AA"/>
    <w:rsid w:val="00BD7800"/>
    <w:rsid w:val="00BF7D59"/>
    <w:rsid w:val="00C50813"/>
    <w:rsid w:val="00C513ED"/>
    <w:rsid w:val="00C52C92"/>
    <w:rsid w:val="00C70ABB"/>
    <w:rsid w:val="00CA4012"/>
    <w:rsid w:val="00CA4BFA"/>
    <w:rsid w:val="00D2788F"/>
    <w:rsid w:val="00D67615"/>
    <w:rsid w:val="00D7614B"/>
    <w:rsid w:val="00DC2DEC"/>
    <w:rsid w:val="00DD1F9A"/>
    <w:rsid w:val="00DE2836"/>
    <w:rsid w:val="00E01AE4"/>
    <w:rsid w:val="00E46CA9"/>
    <w:rsid w:val="00E91554"/>
    <w:rsid w:val="00EE06D7"/>
    <w:rsid w:val="00EE665E"/>
    <w:rsid w:val="00F123E8"/>
    <w:rsid w:val="00F16729"/>
    <w:rsid w:val="00F311C8"/>
    <w:rsid w:val="00F7607A"/>
    <w:rsid w:val="00F76D55"/>
    <w:rsid w:val="00F944ED"/>
    <w:rsid w:val="00FB4926"/>
    <w:rsid w:val="00FB6C40"/>
    <w:rsid w:val="00FD70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703"/>
    <w:pPr>
      <w:jc w:val="both"/>
    </w:pPr>
    <w:rPr>
      <w:rFonts w:ascii="Times New Roman" w:hAnsi="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A655F"/>
    <w:rPr>
      <w:sz w:val="20"/>
      <w:szCs w:val="20"/>
    </w:rPr>
  </w:style>
  <w:style w:type="character" w:customStyle="1" w:styleId="FootnoteTextChar">
    <w:name w:val="Footnote Text Char"/>
    <w:basedOn w:val="DefaultParagraphFont"/>
    <w:link w:val="FootnoteText"/>
    <w:uiPriority w:val="99"/>
    <w:semiHidden/>
    <w:rsid w:val="003A655F"/>
    <w:rPr>
      <w:lang w:eastAsia="en-US"/>
    </w:rPr>
  </w:style>
  <w:style w:type="character" w:styleId="FootnoteReference">
    <w:name w:val="footnote reference"/>
    <w:basedOn w:val="DefaultParagraphFont"/>
    <w:uiPriority w:val="99"/>
    <w:semiHidden/>
    <w:unhideWhenUsed/>
    <w:rsid w:val="003A655F"/>
    <w:rPr>
      <w:vertAlign w:val="superscript"/>
    </w:rPr>
  </w:style>
  <w:style w:type="paragraph" w:styleId="ListParagraph">
    <w:name w:val="List Paragraph"/>
    <w:basedOn w:val="Normal"/>
    <w:uiPriority w:val="34"/>
    <w:qFormat/>
    <w:rsid w:val="009C4E52"/>
    <w:pPr>
      <w:ind w:left="720"/>
      <w:contextualSpacing/>
    </w:pPr>
  </w:style>
  <w:style w:type="paragraph" w:styleId="Header">
    <w:name w:val="header"/>
    <w:basedOn w:val="Normal"/>
    <w:link w:val="HeaderChar"/>
    <w:uiPriority w:val="99"/>
    <w:unhideWhenUsed/>
    <w:rsid w:val="004231A2"/>
    <w:pPr>
      <w:tabs>
        <w:tab w:val="center" w:pos="4419"/>
        <w:tab w:val="right" w:pos="8838"/>
      </w:tabs>
    </w:pPr>
  </w:style>
  <w:style w:type="character" w:customStyle="1" w:styleId="HeaderChar">
    <w:name w:val="Header Char"/>
    <w:basedOn w:val="DefaultParagraphFont"/>
    <w:link w:val="Header"/>
    <w:uiPriority w:val="99"/>
    <w:rsid w:val="004231A2"/>
    <w:rPr>
      <w:rFonts w:ascii="Times New Roman" w:hAnsi="Times New Roman"/>
      <w:sz w:val="22"/>
      <w:szCs w:val="22"/>
      <w:lang w:val="en-GB"/>
    </w:rPr>
  </w:style>
  <w:style w:type="paragraph" w:styleId="Footer">
    <w:name w:val="footer"/>
    <w:basedOn w:val="Normal"/>
    <w:link w:val="FooterChar"/>
    <w:uiPriority w:val="99"/>
    <w:semiHidden/>
    <w:unhideWhenUsed/>
    <w:rsid w:val="004231A2"/>
    <w:pPr>
      <w:tabs>
        <w:tab w:val="center" w:pos="4419"/>
        <w:tab w:val="right" w:pos="8838"/>
      </w:tabs>
    </w:pPr>
  </w:style>
  <w:style w:type="character" w:customStyle="1" w:styleId="FooterChar">
    <w:name w:val="Footer Char"/>
    <w:basedOn w:val="DefaultParagraphFont"/>
    <w:link w:val="Footer"/>
    <w:uiPriority w:val="99"/>
    <w:semiHidden/>
    <w:rsid w:val="004231A2"/>
    <w:rPr>
      <w:rFonts w:ascii="Times New Roman" w:hAnsi="Times New Roman"/>
      <w:sz w:val="22"/>
      <w:szCs w:val="2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756D2-E2CA-4650-BB99-E35CC92BA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Tench</dc:creator>
  <cp:lastModifiedBy>micornejo</cp:lastModifiedBy>
  <cp:revision>24</cp:revision>
  <cp:lastPrinted>2012-08-09T14:28:00Z</cp:lastPrinted>
  <dcterms:created xsi:type="dcterms:W3CDTF">2012-08-01T21:50:00Z</dcterms:created>
  <dcterms:modified xsi:type="dcterms:W3CDTF">2012-08-16T16:08:00Z</dcterms:modified>
</cp:coreProperties>
</file>