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98" w:rsidRPr="003151DE" w:rsidRDefault="001E1A5A" w:rsidP="003151DE">
      <w:pPr>
        <w:jc w:val="center"/>
        <w:rPr>
          <w:b/>
        </w:rPr>
      </w:pPr>
      <w:r w:rsidRPr="003151DE">
        <w:rPr>
          <w:b/>
        </w:rPr>
        <w:t>BARBADOS</w:t>
      </w:r>
    </w:p>
    <w:p w:rsidR="00644443" w:rsidRDefault="00644443" w:rsidP="003151DE"/>
    <w:p w:rsidR="003151DE" w:rsidRPr="003151DE" w:rsidRDefault="003151DE" w:rsidP="003151DE"/>
    <w:p w:rsidR="00705E98" w:rsidRPr="003151DE" w:rsidRDefault="00644443" w:rsidP="003151DE">
      <w:pPr>
        <w:jc w:val="center"/>
        <w:rPr>
          <w:rFonts w:cs="Times New Roman"/>
          <w:b/>
          <w:szCs w:val="24"/>
        </w:rPr>
      </w:pPr>
      <w:r w:rsidRPr="003151DE">
        <w:rPr>
          <w:b/>
          <w:szCs w:val="24"/>
        </w:rPr>
        <w:t>1. Rasgos generales de la evolución reciente</w:t>
      </w:r>
    </w:p>
    <w:p w:rsidR="00644443" w:rsidRPr="003151DE" w:rsidRDefault="00644443" w:rsidP="003151DE">
      <w:pPr>
        <w:rPr>
          <w:rFonts w:cs="Times New Roman"/>
          <w:szCs w:val="24"/>
        </w:rPr>
      </w:pPr>
    </w:p>
    <w:p w:rsidR="00705E98" w:rsidRPr="003151DE" w:rsidRDefault="00DD3DE5" w:rsidP="003151DE">
      <w:pPr>
        <w:rPr>
          <w:rFonts w:cs="Times New Roman"/>
          <w:szCs w:val="24"/>
        </w:rPr>
      </w:pPr>
      <w:r w:rsidRPr="003151DE">
        <w:rPr>
          <w:szCs w:val="24"/>
        </w:rPr>
        <w:t>Por segundo año consecutivo</w:t>
      </w:r>
      <w:r w:rsidR="00210B9B" w:rsidRPr="003151DE">
        <w:rPr>
          <w:szCs w:val="24"/>
        </w:rPr>
        <w:t xml:space="preserve"> l</w:t>
      </w:r>
      <w:r w:rsidR="00BB0DCB" w:rsidRPr="003151DE">
        <w:rPr>
          <w:szCs w:val="24"/>
        </w:rPr>
        <w:t xml:space="preserve">a economía de Barbados </w:t>
      </w:r>
      <w:r w:rsidR="00B0584D" w:rsidRPr="003151DE">
        <w:rPr>
          <w:szCs w:val="24"/>
        </w:rPr>
        <w:t xml:space="preserve">registró un </w:t>
      </w:r>
      <w:r w:rsidRPr="003151DE">
        <w:rPr>
          <w:szCs w:val="24"/>
        </w:rPr>
        <w:t xml:space="preserve">crecimiento </w:t>
      </w:r>
      <w:r w:rsidR="00B0584D" w:rsidRPr="003151DE">
        <w:rPr>
          <w:szCs w:val="24"/>
        </w:rPr>
        <w:t xml:space="preserve">positivo, si bien </w:t>
      </w:r>
      <w:r w:rsidRPr="003151DE">
        <w:rPr>
          <w:szCs w:val="24"/>
        </w:rPr>
        <w:t>moderado</w:t>
      </w:r>
      <w:r w:rsidR="00BB0DCB" w:rsidRPr="003151DE">
        <w:rPr>
          <w:szCs w:val="24"/>
        </w:rPr>
        <w:t xml:space="preserve"> </w:t>
      </w:r>
      <w:r w:rsidR="00210B9B" w:rsidRPr="003151DE">
        <w:rPr>
          <w:szCs w:val="24"/>
        </w:rPr>
        <w:t>(</w:t>
      </w:r>
      <w:r w:rsidR="00BB0DCB" w:rsidRPr="003151DE">
        <w:rPr>
          <w:szCs w:val="24"/>
        </w:rPr>
        <w:t>a una tasa del 0,5% en 2011, después del 0,3% de expansión registrado en 2010</w:t>
      </w:r>
      <w:r w:rsidR="00210B9B" w:rsidRPr="003151DE">
        <w:rPr>
          <w:szCs w:val="24"/>
        </w:rPr>
        <w:t>)</w:t>
      </w:r>
      <w:r w:rsidR="00BB0DCB" w:rsidRPr="003151DE">
        <w:rPr>
          <w:szCs w:val="24"/>
        </w:rPr>
        <w:t>. En general, la actividad se mantuvo estable, con un aum</w:t>
      </w:r>
      <w:r w:rsidR="00210B9B" w:rsidRPr="003151DE">
        <w:rPr>
          <w:szCs w:val="24"/>
        </w:rPr>
        <w:t>ento de llegadas de turistas de un</w:t>
      </w:r>
      <w:r w:rsidR="00BB0DCB" w:rsidRPr="003151DE">
        <w:rPr>
          <w:szCs w:val="24"/>
        </w:rPr>
        <w:t xml:space="preserve"> 7% y un avance de los sectores de la construcción (</w:t>
      </w:r>
      <w:r w:rsidR="00210B9B" w:rsidRPr="003151DE">
        <w:rPr>
          <w:szCs w:val="24"/>
        </w:rPr>
        <w:t xml:space="preserve">un </w:t>
      </w:r>
      <w:r w:rsidR="00BB0DCB" w:rsidRPr="003151DE">
        <w:rPr>
          <w:szCs w:val="24"/>
        </w:rPr>
        <w:t xml:space="preserve">4,4%) y </w:t>
      </w:r>
      <w:r w:rsidR="009F15A3" w:rsidRPr="003151DE">
        <w:rPr>
          <w:szCs w:val="24"/>
        </w:rPr>
        <w:t>d</w:t>
      </w:r>
      <w:r w:rsidR="00BB0DCB" w:rsidRPr="003151DE">
        <w:rPr>
          <w:szCs w:val="24"/>
        </w:rPr>
        <w:t>el transporte y las comunicaciones (</w:t>
      </w:r>
      <w:r w:rsidR="00210B9B" w:rsidRPr="003151DE">
        <w:rPr>
          <w:szCs w:val="24"/>
        </w:rPr>
        <w:t xml:space="preserve">un </w:t>
      </w:r>
      <w:r w:rsidR="00BB0DCB" w:rsidRPr="003151DE">
        <w:rPr>
          <w:szCs w:val="24"/>
        </w:rPr>
        <w:t xml:space="preserve">0,6%). Sin embargo, el </w:t>
      </w:r>
      <w:r w:rsidR="0056023C" w:rsidRPr="003151DE">
        <w:rPr>
          <w:szCs w:val="24"/>
        </w:rPr>
        <w:t>mayor número</w:t>
      </w:r>
      <w:r w:rsidR="00BB0DCB" w:rsidRPr="003151DE">
        <w:rPr>
          <w:szCs w:val="24"/>
        </w:rPr>
        <w:t xml:space="preserve"> de </w:t>
      </w:r>
      <w:r w:rsidR="009F15A3" w:rsidRPr="003151DE">
        <w:rPr>
          <w:szCs w:val="24"/>
        </w:rPr>
        <w:t>visitantes</w:t>
      </w:r>
      <w:r w:rsidR="00BB0DCB" w:rsidRPr="003151DE">
        <w:rPr>
          <w:szCs w:val="24"/>
        </w:rPr>
        <w:t xml:space="preserve"> no se tradujo en un mejor desempeño del sector</w:t>
      </w:r>
      <w:r w:rsidR="009F15A3" w:rsidRPr="003151DE">
        <w:rPr>
          <w:szCs w:val="24"/>
        </w:rPr>
        <w:t xml:space="preserve"> turístico</w:t>
      </w:r>
      <w:r w:rsidR="00BB0DCB" w:rsidRPr="003151DE">
        <w:rPr>
          <w:szCs w:val="24"/>
        </w:rPr>
        <w:t>, que solo avanzó un 0,3%</w:t>
      </w:r>
      <w:r w:rsidR="0084791A" w:rsidRPr="003151DE">
        <w:rPr>
          <w:szCs w:val="24"/>
        </w:rPr>
        <w:t>,</w:t>
      </w:r>
      <w:r w:rsidR="00BB0DCB" w:rsidRPr="003151DE">
        <w:rPr>
          <w:szCs w:val="24"/>
        </w:rPr>
        <w:t xml:space="preserve"> </w:t>
      </w:r>
      <w:r w:rsidR="0084791A" w:rsidRPr="003151DE">
        <w:rPr>
          <w:szCs w:val="24"/>
        </w:rPr>
        <w:t xml:space="preserve">limitando </w:t>
      </w:r>
      <w:r w:rsidR="00BB0DCB" w:rsidRPr="003151DE">
        <w:rPr>
          <w:szCs w:val="24"/>
        </w:rPr>
        <w:t xml:space="preserve">el dinamismo de la economía. Los esfuerzos del gobierno por reordenar las finanzas públicas con </w:t>
      </w:r>
      <w:r w:rsidR="001454E7" w:rsidRPr="003151DE">
        <w:rPr>
          <w:szCs w:val="24"/>
        </w:rPr>
        <w:t>su</w:t>
      </w:r>
      <w:r w:rsidR="00BB0DCB" w:rsidRPr="003151DE">
        <w:rPr>
          <w:szCs w:val="24"/>
        </w:rPr>
        <w:t xml:space="preserve"> estrategia </w:t>
      </w:r>
      <w:r w:rsidR="001454E7" w:rsidRPr="003151DE">
        <w:rPr>
          <w:szCs w:val="24"/>
        </w:rPr>
        <w:t xml:space="preserve">fiscal </w:t>
      </w:r>
      <w:r w:rsidR="00BB0DCB" w:rsidRPr="003151DE">
        <w:rPr>
          <w:szCs w:val="24"/>
        </w:rPr>
        <w:t xml:space="preserve">de mediano plazo permitieron reducir el déficit </w:t>
      </w:r>
      <w:r w:rsidR="001454E7" w:rsidRPr="003151DE">
        <w:rPr>
          <w:szCs w:val="24"/>
        </w:rPr>
        <w:t>de las cuentas del Estado</w:t>
      </w:r>
      <w:r w:rsidR="00BB0DCB" w:rsidRPr="003151DE">
        <w:rPr>
          <w:szCs w:val="24"/>
        </w:rPr>
        <w:t xml:space="preserve"> desde el 7,4% del PIB registrado </w:t>
      </w:r>
      <w:r w:rsidR="00A072AE" w:rsidRPr="003151DE">
        <w:rPr>
          <w:szCs w:val="24"/>
        </w:rPr>
        <w:t>entre</w:t>
      </w:r>
      <w:r w:rsidR="00BB0DCB" w:rsidRPr="003151DE">
        <w:rPr>
          <w:szCs w:val="24"/>
        </w:rPr>
        <w:t xml:space="preserve"> abril </w:t>
      </w:r>
      <w:r w:rsidR="00A072AE" w:rsidRPr="003151DE">
        <w:rPr>
          <w:szCs w:val="24"/>
        </w:rPr>
        <w:t>y</w:t>
      </w:r>
      <w:r w:rsidR="00BB0DCB" w:rsidRPr="003151DE">
        <w:rPr>
          <w:szCs w:val="24"/>
        </w:rPr>
        <w:t xml:space="preserve"> diciembre de 2010 hasta un 4,8% en el mismo período de 2011. La gestión de la deuda pública acumulada siguió siendo una de las prioridades </w:t>
      </w:r>
      <w:r w:rsidR="00A072AE" w:rsidRPr="003151DE">
        <w:rPr>
          <w:szCs w:val="24"/>
        </w:rPr>
        <w:t xml:space="preserve">del ejecutivo </w:t>
      </w:r>
      <w:r w:rsidR="00BB0DCB" w:rsidRPr="003151DE">
        <w:rPr>
          <w:szCs w:val="24"/>
        </w:rPr>
        <w:t xml:space="preserve">en 2011. La deuda bruta del gobierno con respecto al PIB se redujo 2,6 puntos porcentuales, con lo que pasó del 98,5% en 2010 al 95,9% en 2011. Pese a estos logros, las perspectivas para 2012 </w:t>
      </w:r>
      <w:r w:rsidR="00A072AE" w:rsidRPr="003151DE">
        <w:rPr>
          <w:szCs w:val="24"/>
        </w:rPr>
        <w:t>continúan</w:t>
      </w:r>
      <w:r w:rsidR="00BB0DCB" w:rsidRPr="003151DE">
        <w:rPr>
          <w:szCs w:val="24"/>
        </w:rPr>
        <w:t xml:space="preserve"> estrechamente ligadas </w:t>
      </w:r>
      <w:r w:rsidR="001454E7" w:rsidRPr="003151DE">
        <w:rPr>
          <w:szCs w:val="24"/>
        </w:rPr>
        <w:t>a la evolución</w:t>
      </w:r>
      <w:r w:rsidR="00BB0DCB" w:rsidRPr="003151DE">
        <w:rPr>
          <w:szCs w:val="24"/>
        </w:rPr>
        <w:t xml:space="preserve"> de la economía internacional y a sus efectos concomitantes en el desempeño del sector turístico. Las propuestas de nuevas inversiones en alojamientos de lujo</w:t>
      </w:r>
      <w:r w:rsidR="00561817" w:rsidRPr="003151DE">
        <w:rPr>
          <w:szCs w:val="24"/>
        </w:rPr>
        <w:t>,</w:t>
      </w:r>
      <w:r w:rsidR="00BB0DCB" w:rsidRPr="003151DE">
        <w:rPr>
          <w:szCs w:val="24"/>
        </w:rPr>
        <w:t xml:space="preserve"> las medidas para mejorar y ampliar la reglamentación fiscal y la red de acuerdos de doble tributación con objeto de impulsar los servicios empresariales y financieros internacionales ofrecen </w:t>
      </w:r>
      <w:r w:rsidR="002C427E" w:rsidRPr="003151DE">
        <w:rPr>
          <w:szCs w:val="24"/>
        </w:rPr>
        <w:t>un</w:t>
      </w:r>
      <w:r w:rsidR="00A072AE" w:rsidRPr="003151DE">
        <w:rPr>
          <w:szCs w:val="24"/>
        </w:rPr>
        <w:t xml:space="preserve"> panorama alentador de la</w:t>
      </w:r>
      <w:r w:rsidR="00561817" w:rsidRPr="003151DE">
        <w:rPr>
          <w:szCs w:val="24"/>
        </w:rPr>
        <w:t xml:space="preserve"> marcha de la</w:t>
      </w:r>
      <w:r w:rsidR="00A072AE" w:rsidRPr="003151DE">
        <w:rPr>
          <w:szCs w:val="24"/>
        </w:rPr>
        <w:t xml:space="preserve"> economía</w:t>
      </w:r>
      <w:r w:rsidR="00BB0DCB" w:rsidRPr="003151DE">
        <w:rPr>
          <w:szCs w:val="24"/>
        </w:rPr>
        <w:t xml:space="preserve"> en el mediano plazo. El crecimiento previsto para 2012 se situaría en el 1%.</w:t>
      </w:r>
    </w:p>
    <w:p w:rsidR="001E1A5A" w:rsidRPr="003151DE" w:rsidRDefault="001E1A5A" w:rsidP="003151DE">
      <w:pPr>
        <w:rPr>
          <w:rFonts w:cs="Times New Roman"/>
          <w:szCs w:val="24"/>
        </w:rPr>
      </w:pPr>
    </w:p>
    <w:p w:rsidR="001E1A5A" w:rsidRPr="003151DE" w:rsidRDefault="001E1A5A" w:rsidP="003151DE">
      <w:pPr>
        <w:rPr>
          <w:rFonts w:cs="Times New Roman"/>
          <w:szCs w:val="24"/>
        </w:rPr>
      </w:pPr>
    </w:p>
    <w:p w:rsidR="00705E98" w:rsidRPr="003151DE" w:rsidRDefault="00644443" w:rsidP="003151DE">
      <w:pPr>
        <w:jc w:val="center"/>
        <w:rPr>
          <w:rFonts w:cs="Times New Roman"/>
          <w:b/>
          <w:szCs w:val="24"/>
        </w:rPr>
      </w:pPr>
      <w:r w:rsidRPr="003151DE">
        <w:rPr>
          <w:b/>
          <w:szCs w:val="24"/>
        </w:rPr>
        <w:t>2. La política económica</w:t>
      </w:r>
    </w:p>
    <w:p w:rsidR="001E1A5A" w:rsidRPr="003151DE" w:rsidRDefault="001E1A5A" w:rsidP="003151DE">
      <w:pPr>
        <w:rPr>
          <w:rFonts w:cs="Times New Roman"/>
          <w:szCs w:val="24"/>
        </w:rPr>
      </w:pPr>
    </w:p>
    <w:p w:rsidR="00705E98" w:rsidRPr="003151DE" w:rsidRDefault="003151DE" w:rsidP="003151DE">
      <w:pPr>
        <w:rPr>
          <w:rFonts w:cs="Times New Roman"/>
          <w:b/>
          <w:szCs w:val="24"/>
        </w:rPr>
      </w:pPr>
      <w:r w:rsidRPr="003151DE">
        <w:rPr>
          <w:b/>
          <w:szCs w:val="24"/>
        </w:rPr>
        <w:t>a)</w:t>
      </w:r>
      <w:r w:rsidRPr="003151DE">
        <w:rPr>
          <w:b/>
          <w:szCs w:val="24"/>
        </w:rPr>
        <w:tab/>
      </w:r>
      <w:r w:rsidR="00705E98" w:rsidRPr="003151DE">
        <w:rPr>
          <w:b/>
          <w:szCs w:val="24"/>
        </w:rPr>
        <w:t xml:space="preserve">La política fiscal </w:t>
      </w:r>
    </w:p>
    <w:p w:rsidR="001E1A5A" w:rsidRPr="003151DE" w:rsidRDefault="001E1A5A" w:rsidP="003151DE">
      <w:pPr>
        <w:rPr>
          <w:rFonts w:cs="Times New Roman"/>
          <w:szCs w:val="24"/>
        </w:rPr>
      </w:pPr>
    </w:p>
    <w:p w:rsidR="00705E98" w:rsidRPr="003151DE" w:rsidRDefault="001E1A5A" w:rsidP="003151DE">
      <w:pPr>
        <w:rPr>
          <w:rFonts w:cs="Times New Roman"/>
          <w:szCs w:val="24"/>
        </w:rPr>
      </w:pPr>
      <w:r w:rsidRPr="003151DE">
        <w:tab/>
      </w:r>
      <w:r w:rsidRPr="003151DE">
        <w:rPr>
          <w:szCs w:val="24"/>
        </w:rPr>
        <w:t xml:space="preserve">En 2011 el gobierno siguió trabajando por la consolidación fiscal, para lo que intentó aumentar los ingresos y reducir los gastos sin dejar de proteger a los grupos más vulnerables. Dado que en Barbados el ejercicio económico </w:t>
      </w:r>
      <w:r w:rsidR="00777D58" w:rsidRPr="003151DE">
        <w:rPr>
          <w:szCs w:val="24"/>
        </w:rPr>
        <w:t>va de abril</w:t>
      </w:r>
      <w:r w:rsidRPr="003151DE">
        <w:rPr>
          <w:szCs w:val="24"/>
        </w:rPr>
        <w:t xml:space="preserve"> </w:t>
      </w:r>
      <w:r w:rsidR="00777D58" w:rsidRPr="003151DE">
        <w:rPr>
          <w:szCs w:val="24"/>
        </w:rPr>
        <w:t>a</w:t>
      </w:r>
      <w:r w:rsidRPr="003151DE">
        <w:rPr>
          <w:szCs w:val="24"/>
        </w:rPr>
        <w:t xml:space="preserve"> marzo, los datos de diciembre representan la situación fiscal de </w:t>
      </w:r>
      <w:r w:rsidR="0079444F" w:rsidRPr="003151DE">
        <w:rPr>
          <w:szCs w:val="24"/>
        </w:rPr>
        <w:t xml:space="preserve">los </w:t>
      </w:r>
      <w:r w:rsidRPr="003151DE">
        <w:rPr>
          <w:szCs w:val="24"/>
        </w:rPr>
        <w:t>nueve</w:t>
      </w:r>
      <w:r w:rsidR="0079444F" w:rsidRPr="003151DE">
        <w:rPr>
          <w:szCs w:val="24"/>
        </w:rPr>
        <w:t xml:space="preserve"> primeros</w:t>
      </w:r>
      <w:r w:rsidRPr="003151DE">
        <w:rPr>
          <w:szCs w:val="24"/>
        </w:rPr>
        <w:t xml:space="preserve"> meses</w:t>
      </w:r>
      <w:r w:rsidR="0079444F" w:rsidRPr="003151DE">
        <w:rPr>
          <w:szCs w:val="24"/>
        </w:rPr>
        <w:t xml:space="preserve"> del ejercicio</w:t>
      </w:r>
      <w:r w:rsidRPr="003151DE">
        <w:rPr>
          <w:szCs w:val="24"/>
        </w:rPr>
        <w:t xml:space="preserve">. </w:t>
      </w:r>
      <w:r w:rsidR="0035231C" w:rsidRPr="003151DE">
        <w:rPr>
          <w:szCs w:val="24"/>
        </w:rPr>
        <w:t>Las</w:t>
      </w:r>
      <w:r w:rsidRPr="003151DE">
        <w:rPr>
          <w:szCs w:val="24"/>
        </w:rPr>
        <w:t xml:space="preserve"> medidas adoptadas </w:t>
      </w:r>
      <w:r w:rsidR="0035231C" w:rsidRPr="003151DE">
        <w:rPr>
          <w:szCs w:val="24"/>
        </w:rPr>
        <w:t>en</w:t>
      </w:r>
      <w:r w:rsidRPr="003151DE">
        <w:rPr>
          <w:szCs w:val="24"/>
        </w:rPr>
        <w:t xml:space="preserve"> ese período, como los incrementos del impuesto sobre el valor agregado (IVA) </w:t>
      </w:r>
      <w:r w:rsidR="00BF218C" w:rsidRPr="003151DE">
        <w:rPr>
          <w:szCs w:val="24"/>
        </w:rPr>
        <w:t>—</w:t>
      </w:r>
      <w:r w:rsidRPr="003151DE">
        <w:rPr>
          <w:szCs w:val="24"/>
        </w:rPr>
        <w:t>de un 15% a un 17,5%</w:t>
      </w:r>
      <w:r w:rsidR="00BF218C" w:rsidRPr="003151DE">
        <w:rPr>
          <w:szCs w:val="24"/>
        </w:rPr>
        <w:t>—</w:t>
      </w:r>
      <w:r w:rsidRPr="003151DE">
        <w:rPr>
          <w:szCs w:val="24"/>
        </w:rPr>
        <w:t>, de la tributación de bienes raíces y de los derechos de importación</w:t>
      </w:r>
      <w:r w:rsidR="0035231C" w:rsidRPr="003151DE">
        <w:rPr>
          <w:szCs w:val="24"/>
        </w:rPr>
        <w:t>, permitieron incrementar la recaudación tributaria un 4,8%</w:t>
      </w:r>
      <w:r w:rsidRPr="003151DE">
        <w:rPr>
          <w:szCs w:val="24"/>
        </w:rPr>
        <w:t xml:space="preserve">. Por otra parte, </w:t>
      </w:r>
      <w:r w:rsidR="00072B4C" w:rsidRPr="003151DE">
        <w:rPr>
          <w:szCs w:val="24"/>
        </w:rPr>
        <w:t>por medio</w:t>
      </w:r>
      <w:r w:rsidRPr="003151DE">
        <w:rPr>
          <w:szCs w:val="24"/>
        </w:rPr>
        <w:t xml:space="preserve"> de un estricto control del gasto público se consiguieron reducir significativamente los gastos de capital y las transferencias a las instituciones públicas en 2011 (un 17% y un 10%, respectivamente) con respecto al mismo per</w:t>
      </w:r>
      <w:r w:rsidR="00651C7C" w:rsidRPr="003151DE">
        <w:rPr>
          <w:szCs w:val="24"/>
        </w:rPr>
        <w:t>íodo de 2010. El déficit fiscal</w:t>
      </w:r>
      <w:r w:rsidRPr="003151DE">
        <w:rPr>
          <w:szCs w:val="24"/>
        </w:rPr>
        <w:t xml:space="preserve"> disminuyó del 7,4% al 4,8% del PIB entre 2010 y 2011. </w:t>
      </w:r>
      <w:r w:rsidR="00651C7C" w:rsidRPr="003151DE">
        <w:rPr>
          <w:szCs w:val="24"/>
        </w:rPr>
        <w:t>No obstante, pese al contexto de ajuste</w:t>
      </w:r>
      <w:r w:rsidR="0082769F" w:rsidRPr="003151DE">
        <w:rPr>
          <w:szCs w:val="24"/>
        </w:rPr>
        <w:t>s</w:t>
      </w:r>
      <w:r w:rsidRPr="003151DE">
        <w:rPr>
          <w:szCs w:val="24"/>
        </w:rPr>
        <w:t>, el gobierno amplió la cobertura de protección social a los grupos vulnerables</w:t>
      </w:r>
      <w:r w:rsidR="0082769F" w:rsidRPr="003151DE">
        <w:rPr>
          <w:szCs w:val="24"/>
        </w:rPr>
        <w:t>,</w:t>
      </w:r>
      <w:r w:rsidRPr="003151DE">
        <w:rPr>
          <w:szCs w:val="24"/>
        </w:rPr>
        <w:t xml:space="preserve"> al introducir un subsidio específico para los desempleados con la finalidad de compensar el </w:t>
      </w:r>
      <w:r w:rsidR="00150230" w:rsidRPr="003151DE">
        <w:rPr>
          <w:szCs w:val="24"/>
        </w:rPr>
        <w:t>gran</w:t>
      </w:r>
      <w:r w:rsidRPr="003151DE">
        <w:rPr>
          <w:szCs w:val="24"/>
        </w:rPr>
        <w:t xml:space="preserve"> aumento del costo de la energía </w:t>
      </w:r>
      <w:r w:rsidR="00150230" w:rsidRPr="003151DE">
        <w:rPr>
          <w:szCs w:val="24"/>
        </w:rPr>
        <w:t>que se registró en</w:t>
      </w:r>
      <w:r w:rsidRPr="003151DE">
        <w:rPr>
          <w:szCs w:val="24"/>
        </w:rPr>
        <w:t xml:space="preserve"> 2011.</w:t>
      </w:r>
    </w:p>
    <w:p w:rsidR="001E1A5A" w:rsidRPr="003151DE" w:rsidRDefault="001E1A5A" w:rsidP="003151DE">
      <w:pPr>
        <w:rPr>
          <w:rFonts w:cs="Times New Roman"/>
          <w:szCs w:val="24"/>
        </w:rPr>
      </w:pPr>
    </w:p>
    <w:p w:rsidR="00705E98" w:rsidRPr="003151DE" w:rsidRDefault="001E1A5A" w:rsidP="003151DE">
      <w:pPr>
        <w:rPr>
          <w:rFonts w:cs="Times New Roman"/>
          <w:szCs w:val="24"/>
        </w:rPr>
      </w:pPr>
      <w:r w:rsidRPr="003151DE">
        <w:tab/>
      </w:r>
      <w:r w:rsidRPr="003151DE">
        <w:rPr>
          <w:szCs w:val="24"/>
        </w:rPr>
        <w:t xml:space="preserve">La austeridad de la política fiscal también </w:t>
      </w:r>
      <w:r w:rsidR="0082769F" w:rsidRPr="003151DE">
        <w:rPr>
          <w:szCs w:val="24"/>
        </w:rPr>
        <w:t>permitió disminuir</w:t>
      </w:r>
      <w:r w:rsidRPr="003151DE">
        <w:rPr>
          <w:szCs w:val="24"/>
        </w:rPr>
        <w:t xml:space="preserve"> la deuda del gobierno central del 98,5% al 95,9% del PIB en 2011. No obstante, la perspectiva de un débil crecimiento económico ha llevado al ejecutivo a retrasar hasta el ejercicio 2016/2017 su objetivo de alcanzar </w:t>
      </w:r>
      <w:r w:rsidR="004E4E08" w:rsidRPr="003151DE">
        <w:rPr>
          <w:szCs w:val="24"/>
        </w:rPr>
        <w:t>un</w:t>
      </w:r>
      <w:r w:rsidRPr="003151DE">
        <w:rPr>
          <w:szCs w:val="24"/>
        </w:rPr>
        <w:t xml:space="preserve"> equilibrio presupuestario.</w:t>
      </w:r>
    </w:p>
    <w:p w:rsidR="001E1A5A" w:rsidRPr="003151DE" w:rsidRDefault="001E1A5A" w:rsidP="003151DE">
      <w:pPr>
        <w:rPr>
          <w:rFonts w:cs="Times New Roman"/>
          <w:szCs w:val="24"/>
        </w:rPr>
      </w:pPr>
    </w:p>
    <w:p w:rsidR="00705E98" w:rsidRPr="003151DE" w:rsidRDefault="003151DE" w:rsidP="003151DE">
      <w:pPr>
        <w:rPr>
          <w:rFonts w:cs="Times New Roman"/>
          <w:b/>
          <w:szCs w:val="24"/>
        </w:rPr>
      </w:pPr>
      <w:r w:rsidRPr="003151DE">
        <w:rPr>
          <w:b/>
          <w:szCs w:val="24"/>
        </w:rPr>
        <w:t>b)</w:t>
      </w:r>
      <w:r w:rsidRPr="003151DE">
        <w:rPr>
          <w:b/>
          <w:szCs w:val="24"/>
        </w:rPr>
        <w:tab/>
      </w:r>
      <w:r w:rsidR="00705E98" w:rsidRPr="003151DE">
        <w:rPr>
          <w:b/>
          <w:szCs w:val="24"/>
        </w:rPr>
        <w:t>Las políticas monetaria y cambiaria</w:t>
      </w:r>
    </w:p>
    <w:p w:rsidR="001E1A5A" w:rsidRPr="003151DE" w:rsidRDefault="001E1A5A" w:rsidP="003151DE">
      <w:pPr>
        <w:rPr>
          <w:rFonts w:cs="Times New Roman"/>
          <w:szCs w:val="24"/>
        </w:rPr>
      </w:pPr>
    </w:p>
    <w:p w:rsidR="00705E98" w:rsidRPr="003151DE" w:rsidRDefault="001E1A5A" w:rsidP="003151DE">
      <w:pPr>
        <w:rPr>
          <w:rFonts w:cs="Times New Roman"/>
          <w:szCs w:val="24"/>
        </w:rPr>
      </w:pPr>
      <w:r w:rsidRPr="003151DE">
        <w:tab/>
      </w:r>
      <w:r w:rsidRPr="003151DE">
        <w:rPr>
          <w:szCs w:val="24"/>
        </w:rPr>
        <w:t xml:space="preserve">La prioridad del banco central sigue siendo </w:t>
      </w:r>
      <w:r w:rsidR="004E4E08" w:rsidRPr="003151DE">
        <w:rPr>
          <w:szCs w:val="24"/>
        </w:rPr>
        <w:t>manejar</w:t>
      </w:r>
      <w:r w:rsidRPr="003151DE">
        <w:rPr>
          <w:szCs w:val="24"/>
        </w:rPr>
        <w:t xml:space="preserve"> las reservas internacionales para preservar el tipo de cambio, que desde la década de 1990 se mantiene fijo en 2 dólares de Barbados por dólar de los </w:t>
      </w:r>
      <w:r w:rsidRPr="003151DE">
        <w:rPr>
          <w:szCs w:val="24"/>
        </w:rPr>
        <w:lastRenderedPageBreak/>
        <w:t xml:space="preserve">Estados Unidos. Las reservas disminuyeron 7,5 millones de dólares de los Estados Unidos en 2011, de manera que al final del año se situaron en 709,95 millones. Si bien en una evaluación del Fondo Monetario Internacional (FMI) llevada a cabo en 2011 se indicaba que el tipo de cambio real efectivo se encontraba cerca de su valor de equilibrio, el aumento de la inflación se percibía como una posible amenaza para la competitividad del país. En cuanto a la política monetaria, </w:t>
      </w:r>
      <w:r w:rsidR="00CE7952" w:rsidRPr="003151DE">
        <w:rPr>
          <w:szCs w:val="24"/>
        </w:rPr>
        <w:t>las iniciativas</w:t>
      </w:r>
      <w:r w:rsidRPr="003151DE">
        <w:rPr>
          <w:szCs w:val="24"/>
        </w:rPr>
        <w:t xml:space="preserve"> </w:t>
      </w:r>
      <w:r w:rsidR="00CE7952" w:rsidRPr="003151DE">
        <w:rPr>
          <w:szCs w:val="24"/>
        </w:rPr>
        <w:t>de</w:t>
      </w:r>
      <w:r w:rsidRPr="003151DE">
        <w:rPr>
          <w:szCs w:val="24"/>
        </w:rPr>
        <w:t xml:space="preserve"> gestión de la liquidez y el crédito</w:t>
      </w:r>
      <w:r w:rsidR="00CE7952" w:rsidRPr="003151DE">
        <w:rPr>
          <w:szCs w:val="24"/>
        </w:rPr>
        <w:t xml:space="preserve"> se orientaron a rebajar</w:t>
      </w:r>
      <w:r w:rsidRPr="003151DE">
        <w:rPr>
          <w:szCs w:val="24"/>
        </w:rPr>
        <w:t xml:space="preserve"> aún más las tasas de interés internas con objeto de estimular el </w:t>
      </w:r>
      <w:r w:rsidR="00727BAF" w:rsidRPr="003151DE">
        <w:rPr>
          <w:szCs w:val="24"/>
        </w:rPr>
        <w:t>crecimiento</w:t>
      </w:r>
      <w:r w:rsidRPr="003151DE">
        <w:rPr>
          <w:szCs w:val="24"/>
        </w:rPr>
        <w:t xml:space="preserve"> del crédito en el corto plazo. El promedio de las tasas de depósito retrocedió ligeramente, del 2,69% en </w:t>
      </w:r>
      <w:r w:rsidR="004E4E08" w:rsidRPr="003151DE">
        <w:rPr>
          <w:szCs w:val="24"/>
        </w:rPr>
        <w:t xml:space="preserve">diciembre de </w:t>
      </w:r>
      <w:r w:rsidRPr="003151DE">
        <w:rPr>
          <w:szCs w:val="24"/>
        </w:rPr>
        <w:t xml:space="preserve">2010 al 2,65% en octubre de 2011, mientras que el promedio de las tasas activas se redujo del 9,39% al 9,34% en igual período. Con esta tendencia se ampliaba hasta un 6,69% el diferencial entre las tasas comerciales activas y pasivas. Por otra parte, se produjo un leve incremento </w:t>
      </w:r>
      <w:r w:rsidR="00E83720" w:rsidRPr="003151DE">
        <w:rPr>
          <w:szCs w:val="24"/>
        </w:rPr>
        <w:t xml:space="preserve">(del 3,35% al 3,45%) </w:t>
      </w:r>
      <w:r w:rsidRPr="003151DE">
        <w:rPr>
          <w:szCs w:val="24"/>
        </w:rPr>
        <w:t xml:space="preserve">de la tasa de los bonos del tesoro a </w:t>
      </w:r>
      <w:r w:rsidR="00BE4482" w:rsidRPr="003151DE">
        <w:rPr>
          <w:szCs w:val="24"/>
        </w:rPr>
        <w:t>tres</w:t>
      </w:r>
      <w:r w:rsidRPr="003151DE">
        <w:rPr>
          <w:szCs w:val="24"/>
        </w:rPr>
        <w:t xml:space="preserve"> meses, con lo que se invertía la anterior tendencia a la baja. Pese a este descenso general</w:t>
      </w:r>
      <w:r w:rsidR="00656647" w:rsidRPr="003151DE">
        <w:rPr>
          <w:szCs w:val="24"/>
        </w:rPr>
        <w:t>izado</w:t>
      </w:r>
      <w:r w:rsidRPr="003151DE">
        <w:rPr>
          <w:szCs w:val="24"/>
        </w:rPr>
        <w:t xml:space="preserve"> de las tasas de interés, la persistente </w:t>
      </w:r>
      <w:r w:rsidR="00D6279E" w:rsidRPr="003151DE">
        <w:rPr>
          <w:szCs w:val="24"/>
        </w:rPr>
        <w:t>debilidad</w:t>
      </w:r>
      <w:r w:rsidRPr="003151DE">
        <w:rPr>
          <w:szCs w:val="24"/>
        </w:rPr>
        <w:t xml:space="preserve"> de la economía de Barbados frenó la demanda de crédito, que en el sector privado no financiero retrocedió un 0,29% entre 2010 y 2011. Por último, aunque el gobierno introdujo en 2011 algunas enmiendas a la reglamentación financiera con respecto a prestaciones y pensiones para grupos ocupacionales, el sistema financiero no se modificó significativamente y el coeficiente de capitalización se incrementó del 17,1% en 2010 al 19,3% en septiembre de 2011.</w:t>
      </w:r>
    </w:p>
    <w:p w:rsidR="001E1A5A" w:rsidRPr="003151DE" w:rsidRDefault="001E1A5A" w:rsidP="003151DE">
      <w:pPr>
        <w:rPr>
          <w:rFonts w:cs="Times New Roman"/>
          <w:szCs w:val="24"/>
        </w:rPr>
      </w:pPr>
    </w:p>
    <w:p w:rsidR="001E1A5A" w:rsidRPr="003151DE" w:rsidRDefault="001E1A5A" w:rsidP="003151DE">
      <w:pPr>
        <w:rPr>
          <w:rFonts w:cs="Times New Roman"/>
          <w:szCs w:val="24"/>
        </w:rPr>
      </w:pPr>
    </w:p>
    <w:p w:rsidR="00705E98" w:rsidRPr="003151DE" w:rsidRDefault="00644443" w:rsidP="003151DE">
      <w:pPr>
        <w:jc w:val="center"/>
        <w:rPr>
          <w:rFonts w:cs="Times New Roman"/>
          <w:b/>
          <w:szCs w:val="24"/>
        </w:rPr>
      </w:pPr>
      <w:r w:rsidRPr="003151DE">
        <w:rPr>
          <w:b/>
          <w:szCs w:val="24"/>
        </w:rPr>
        <w:t>3. Evolución de las principales variables</w:t>
      </w:r>
    </w:p>
    <w:p w:rsidR="001E1A5A" w:rsidRPr="003151DE" w:rsidRDefault="001E1A5A" w:rsidP="003151DE">
      <w:pPr>
        <w:rPr>
          <w:rFonts w:cs="Times New Roman"/>
          <w:szCs w:val="24"/>
        </w:rPr>
      </w:pPr>
    </w:p>
    <w:p w:rsidR="00705E98" w:rsidRPr="003151DE" w:rsidRDefault="003151DE" w:rsidP="003151DE">
      <w:pPr>
        <w:rPr>
          <w:rFonts w:cs="Times New Roman"/>
          <w:b/>
          <w:szCs w:val="24"/>
        </w:rPr>
      </w:pPr>
      <w:r>
        <w:rPr>
          <w:b/>
          <w:szCs w:val="24"/>
        </w:rPr>
        <w:t>a)</w:t>
      </w:r>
      <w:r>
        <w:rPr>
          <w:b/>
          <w:szCs w:val="24"/>
        </w:rPr>
        <w:tab/>
      </w:r>
      <w:r w:rsidR="00705E98" w:rsidRPr="003151DE">
        <w:rPr>
          <w:b/>
          <w:szCs w:val="24"/>
        </w:rPr>
        <w:t>La actividad económica</w:t>
      </w:r>
    </w:p>
    <w:p w:rsidR="001E1A5A" w:rsidRPr="003151DE" w:rsidRDefault="001E1A5A" w:rsidP="003151DE">
      <w:pPr>
        <w:rPr>
          <w:rFonts w:cs="Times New Roman"/>
          <w:szCs w:val="24"/>
        </w:rPr>
      </w:pPr>
    </w:p>
    <w:p w:rsidR="00705E98" w:rsidRPr="003151DE" w:rsidRDefault="003571DD" w:rsidP="003151DE">
      <w:pPr>
        <w:rPr>
          <w:rFonts w:cs="Times New Roman"/>
          <w:szCs w:val="24"/>
        </w:rPr>
      </w:pPr>
      <w:r w:rsidRPr="003151DE">
        <w:tab/>
      </w:r>
      <w:r w:rsidRPr="003151DE">
        <w:rPr>
          <w:szCs w:val="24"/>
        </w:rPr>
        <w:t>El turismo, principal motor del crecimiento económico, experimentó en 2011 un</w:t>
      </w:r>
      <w:r w:rsidR="00D6279E" w:rsidRPr="003151DE">
        <w:rPr>
          <w:szCs w:val="24"/>
        </w:rPr>
        <w:t xml:space="preserve"> nuevo</w:t>
      </w:r>
      <w:r w:rsidRPr="003151DE">
        <w:rPr>
          <w:szCs w:val="24"/>
        </w:rPr>
        <w:t xml:space="preserve"> avance</w:t>
      </w:r>
      <w:r w:rsidR="00422332">
        <w:rPr>
          <w:szCs w:val="24"/>
        </w:rPr>
        <w:t>,</w:t>
      </w:r>
      <w:r w:rsidRPr="003151DE">
        <w:rPr>
          <w:szCs w:val="24"/>
        </w:rPr>
        <w:t xml:space="preserve"> </w:t>
      </w:r>
      <w:r w:rsidR="00D6279E" w:rsidRPr="003151DE">
        <w:rPr>
          <w:szCs w:val="24"/>
        </w:rPr>
        <w:t>al aumentar</w:t>
      </w:r>
      <w:r w:rsidRPr="003151DE">
        <w:rPr>
          <w:szCs w:val="24"/>
        </w:rPr>
        <w:t xml:space="preserve"> </w:t>
      </w:r>
      <w:r w:rsidR="00D6279E" w:rsidRPr="003151DE">
        <w:rPr>
          <w:szCs w:val="24"/>
        </w:rPr>
        <w:t>un</w:t>
      </w:r>
      <w:r w:rsidRPr="003151DE">
        <w:rPr>
          <w:szCs w:val="24"/>
        </w:rPr>
        <w:t xml:space="preserve"> 7% </w:t>
      </w:r>
      <w:r w:rsidR="00D6279E" w:rsidRPr="003151DE">
        <w:rPr>
          <w:szCs w:val="24"/>
        </w:rPr>
        <w:t>el número de</w:t>
      </w:r>
      <w:r w:rsidRPr="003151DE">
        <w:rPr>
          <w:szCs w:val="24"/>
        </w:rPr>
        <w:t xml:space="preserve"> estadías prolongadas. Sin embargo, debido a la reducción de un 5,6% del tiempo medio de permanencia, el sector solo creció un 0,3% y su contribución al PIB nacional se mantuvo en el 12,3%. Tras un considerable incremento en 2010, el número de llegadas de turistas procedentes de los mercados de origen tradicionales se moderó en 2011. </w:t>
      </w:r>
      <w:r w:rsidR="00E63EBB" w:rsidRPr="003151DE">
        <w:rPr>
          <w:szCs w:val="24"/>
        </w:rPr>
        <w:t>Las cifras</w:t>
      </w:r>
      <w:r w:rsidRPr="003151DE">
        <w:rPr>
          <w:szCs w:val="24"/>
        </w:rPr>
        <w:t xml:space="preserve"> de visitantes de larga duración desde los Estados Unidos y e</w:t>
      </w:r>
      <w:r w:rsidR="00E63EBB" w:rsidRPr="003151DE">
        <w:rPr>
          <w:szCs w:val="24"/>
        </w:rPr>
        <w:t>l Reino Unido solo se incrementaron</w:t>
      </w:r>
      <w:r w:rsidRPr="003151DE">
        <w:rPr>
          <w:szCs w:val="24"/>
        </w:rPr>
        <w:t xml:space="preserve"> un 5,5% y un 4,4%, respectivamente, mientras que las llegadas desde Canadá se redujeron un 0,5%. Una de las novedades más destacables fue </w:t>
      </w:r>
      <w:r w:rsidR="00E63EBB" w:rsidRPr="003151DE">
        <w:rPr>
          <w:szCs w:val="24"/>
        </w:rPr>
        <w:t>la inauguración</w:t>
      </w:r>
      <w:r w:rsidRPr="003151DE">
        <w:rPr>
          <w:szCs w:val="24"/>
        </w:rPr>
        <w:t xml:space="preserve"> de la línea aérea de bajo costo RedJet, que impulsó el número de </w:t>
      </w:r>
      <w:r w:rsidR="00E63EBB" w:rsidRPr="003151DE">
        <w:rPr>
          <w:szCs w:val="24"/>
        </w:rPr>
        <w:t>turistas</w:t>
      </w:r>
      <w:r w:rsidRPr="003151DE">
        <w:rPr>
          <w:szCs w:val="24"/>
        </w:rPr>
        <w:t xml:space="preserve"> provenientes de la Comunidad del Caribe. Trinidad y Tabago influyó considerablemente en esa expansión, ya que el </w:t>
      </w:r>
      <w:r w:rsidR="00E63EBB" w:rsidRPr="003151DE">
        <w:rPr>
          <w:szCs w:val="24"/>
        </w:rPr>
        <w:t>volumen de pasajeros</w:t>
      </w:r>
      <w:r w:rsidRPr="003151DE">
        <w:rPr>
          <w:szCs w:val="24"/>
        </w:rPr>
        <w:t xml:space="preserve"> </w:t>
      </w:r>
      <w:r w:rsidR="00E63EBB" w:rsidRPr="003151DE">
        <w:rPr>
          <w:szCs w:val="24"/>
        </w:rPr>
        <w:t>desde</w:t>
      </w:r>
      <w:r w:rsidRPr="003151DE">
        <w:rPr>
          <w:szCs w:val="24"/>
        </w:rPr>
        <w:t xml:space="preserve"> ese país aumentó un 35%. </w:t>
      </w:r>
      <w:r w:rsidR="0098430C" w:rsidRPr="003151DE">
        <w:rPr>
          <w:szCs w:val="24"/>
        </w:rPr>
        <w:t>En cambio</w:t>
      </w:r>
      <w:r w:rsidRPr="003151DE">
        <w:rPr>
          <w:szCs w:val="24"/>
        </w:rPr>
        <w:t>, después de un incremento del 4,6% en 2010, el número de arribos en cruceros disminuyó ligeramente (un 1%) en 2011.</w:t>
      </w:r>
    </w:p>
    <w:p w:rsidR="001E1A5A" w:rsidRPr="003151DE" w:rsidRDefault="001E1A5A" w:rsidP="003151DE">
      <w:pPr>
        <w:rPr>
          <w:rFonts w:cs="Times New Roman"/>
          <w:szCs w:val="24"/>
        </w:rPr>
      </w:pPr>
    </w:p>
    <w:p w:rsidR="00705E98" w:rsidRPr="003151DE" w:rsidRDefault="003571DD" w:rsidP="003151DE">
      <w:pPr>
        <w:rPr>
          <w:rFonts w:cs="Times New Roman"/>
          <w:szCs w:val="24"/>
        </w:rPr>
      </w:pPr>
      <w:r w:rsidRPr="003151DE">
        <w:tab/>
      </w:r>
      <w:r w:rsidR="009D59E3" w:rsidRPr="003151DE">
        <w:rPr>
          <w:szCs w:val="24"/>
        </w:rPr>
        <w:t>La inconsistencia</w:t>
      </w:r>
      <w:r w:rsidRPr="003151DE">
        <w:rPr>
          <w:szCs w:val="24"/>
        </w:rPr>
        <w:t xml:space="preserve"> del sector turístico siguió afectando a la confianza de las empresas, por lo que tuvo también repercusiones en </w:t>
      </w:r>
      <w:r w:rsidR="009D59E3" w:rsidRPr="003151DE">
        <w:rPr>
          <w:szCs w:val="24"/>
        </w:rPr>
        <w:t>otras actividades económicas</w:t>
      </w:r>
      <w:r w:rsidRPr="003151DE">
        <w:rPr>
          <w:szCs w:val="24"/>
        </w:rPr>
        <w:t xml:space="preserve">. El sector no comercial creció solo un 1,2% en 2011, </w:t>
      </w:r>
      <w:r w:rsidR="009D59E3" w:rsidRPr="003151DE">
        <w:rPr>
          <w:szCs w:val="24"/>
        </w:rPr>
        <w:t>aunque</w:t>
      </w:r>
      <w:r w:rsidRPr="003151DE">
        <w:rPr>
          <w:szCs w:val="24"/>
        </w:rPr>
        <w:t xml:space="preserve"> su contribución al PIB aumentó ligeramente hasta el 78,9%. Los principales motores fueron la construcción, los servicios a empresas y otros servicios, así como el almacenaje y las comunicaciones. El sector de servicios financieros también creció ligeramente, ya que el número de compañías </w:t>
      </w:r>
      <w:r w:rsidR="009D59E3" w:rsidRPr="003151DE">
        <w:rPr>
          <w:szCs w:val="24"/>
        </w:rPr>
        <w:t>d</w:t>
      </w:r>
      <w:r w:rsidRPr="003151DE">
        <w:rPr>
          <w:szCs w:val="24"/>
        </w:rPr>
        <w:t>el rubro de servicios empresariales y financieros internacionales aumentó un 3,8%. Por otra parte, la industria manufacturera y la agricultura siguieron retrocediendo en 2011.</w:t>
      </w:r>
    </w:p>
    <w:p w:rsidR="001E1A5A" w:rsidRPr="003151DE" w:rsidRDefault="001E1A5A" w:rsidP="003151DE">
      <w:pPr>
        <w:rPr>
          <w:rFonts w:cs="Times New Roman"/>
          <w:szCs w:val="24"/>
        </w:rPr>
      </w:pPr>
    </w:p>
    <w:p w:rsidR="00705E98" w:rsidRPr="003151DE" w:rsidRDefault="003151DE" w:rsidP="003151DE">
      <w:pPr>
        <w:rPr>
          <w:rFonts w:cs="Times New Roman"/>
          <w:b/>
          <w:szCs w:val="24"/>
        </w:rPr>
      </w:pPr>
      <w:r w:rsidRPr="003151DE">
        <w:rPr>
          <w:b/>
          <w:szCs w:val="24"/>
        </w:rPr>
        <w:t>b)</w:t>
      </w:r>
      <w:r w:rsidRPr="003151DE">
        <w:rPr>
          <w:b/>
          <w:szCs w:val="24"/>
        </w:rPr>
        <w:tab/>
      </w:r>
      <w:r w:rsidR="00705E98" w:rsidRPr="003151DE">
        <w:rPr>
          <w:b/>
          <w:szCs w:val="24"/>
        </w:rPr>
        <w:t>Precios, salarios y empleo</w:t>
      </w:r>
    </w:p>
    <w:p w:rsidR="001E1A5A" w:rsidRPr="003151DE" w:rsidRDefault="001E1A5A" w:rsidP="003151DE">
      <w:pPr>
        <w:rPr>
          <w:rFonts w:cs="Times New Roman"/>
          <w:szCs w:val="24"/>
        </w:rPr>
      </w:pPr>
    </w:p>
    <w:p w:rsidR="00705E98" w:rsidRPr="003151DE" w:rsidRDefault="003571DD" w:rsidP="003151DE">
      <w:pPr>
        <w:rPr>
          <w:rFonts w:cs="Times New Roman"/>
          <w:szCs w:val="24"/>
        </w:rPr>
      </w:pPr>
      <w:r w:rsidRPr="003151DE">
        <w:tab/>
      </w:r>
      <w:r w:rsidRPr="003151DE">
        <w:rPr>
          <w:szCs w:val="24"/>
        </w:rPr>
        <w:t xml:space="preserve">La tasa de inflación a fines de 2011 se mantuvo en el 8,7%, lo </w:t>
      </w:r>
      <w:r w:rsidR="00B35D88">
        <w:rPr>
          <w:szCs w:val="24"/>
        </w:rPr>
        <w:t>que supone un incremento de 2,9 </w:t>
      </w:r>
      <w:r w:rsidRPr="003151DE">
        <w:rPr>
          <w:szCs w:val="24"/>
        </w:rPr>
        <w:t xml:space="preserve">puntos porcentuales con respecto a 2010. A este aumento </w:t>
      </w:r>
      <w:proofErr w:type="gramStart"/>
      <w:r w:rsidRPr="003151DE">
        <w:rPr>
          <w:szCs w:val="24"/>
        </w:rPr>
        <w:t>contribuyeron</w:t>
      </w:r>
      <w:proofErr w:type="gramEnd"/>
      <w:r w:rsidRPr="003151DE">
        <w:rPr>
          <w:szCs w:val="24"/>
        </w:rPr>
        <w:t xml:space="preserve"> el alza de los precios internacionales del petróleo (un 36%) y de los precios del arroz (un 8%). No obstante, debido al bajo dinamismo de la economía de Barbados, la tasa de desempleo subió del 10,8% en los tres primeros </w:t>
      </w:r>
      <w:r w:rsidRPr="003151DE">
        <w:rPr>
          <w:szCs w:val="24"/>
        </w:rPr>
        <w:lastRenderedPageBreak/>
        <w:t>trimestres de 2010</w:t>
      </w:r>
      <w:r w:rsidR="00BE4482" w:rsidRPr="003151DE">
        <w:rPr>
          <w:szCs w:val="24"/>
        </w:rPr>
        <w:t xml:space="preserve"> </w:t>
      </w:r>
      <w:r w:rsidRPr="003151DE">
        <w:rPr>
          <w:szCs w:val="24"/>
        </w:rPr>
        <w:t>al 11,5% en el mismo período de 2011. La pérdida de empleo</w:t>
      </w:r>
      <w:r w:rsidR="009B5357" w:rsidRPr="003151DE">
        <w:rPr>
          <w:szCs w:val="24"/>
        </w:rPr>
        <w:t>s</w:t>
      </w:r>
      <w:r w:rsidRPr="003151DE">
        <w:rPr>
          <w:szCs w:val="24"/>
        </w:rPr>
        <w:t xml:space="preserve"> se produjo principalmente en la industria manufacturera y en el sector de servicios financieros y profesionales. Asimismo, el Servicio de Estadística de Barbados informó de que se habían incrementado </w:t>
      </w:r>
      <w:r w:rsidR="003D1E18" w:rsidRPr="003151DE">
        <w:rPr>
          <w:szCs w:val="24"/>
        </w:rPr>
        <w:t>las</w:t>
      </w:r>
      <w:r w:rsidRPr="003151DE">
        <w:rPr>
          <w:szCs w:val="24"/>
        </w:rPr>
        <w:t xml:space="preserve"> solicitudes de prestación por desempleo y el tiempo medio de búsqueda de empleo de las personas sin un puesto de trabajo. Ante esta situación se mantuvo vigente el acuerdo tripartito sobre sueldos y no se registraron cambios en las escalas salariales. </w:t>
      </w:r>
    </w:p>
    <w:p w:rsidR="003571DD" w:rsidRPr="003151DE" w:rsidRDefault="003571DD" w:rsidP="003151DE">
      <w:pPr>
        <w:rPr>
          <w:rFonts w:cs="Times New Roman"/>
          <w:szCs w:val="24"/>
        </w:rPr>
      </w:pPr>
    </w:p>
    <w:p w:rsidR="00705E98" w:rsidRPr="003151DE" w:rsidRDefault="003151DE" w:rsidP="003151DE">
      <w:pPr>
        <w:rPr>
          <w:rFonts w:cs="Times New Roman"/>
          <w:b/>
          <w:szCs w:val="24"/>
        </w:rPr>
      </w:pPr>
      <w:r w:rsidRPr="003151DE">
        <w:rPr>
          <w:b/>
          <w:szCs w:val="24"/>
        </w:rPr>
        <w:t>c)</w:t>
      </w:r>
      <w:r w:rsidRPr="003151DE">
        <w:rPr>
          <w:b/>
          <w:szCs w:val="24"/>
        </w:rPr>
        <w:tab/>
      </w:r>
      <w:r w:rsidR="00705E98" w:rsidRPr="003151DE">
        <w:rPr>
          <w:b/>
          <w:szCs w:val="24"/>
        </w:rPr>
        <w:t>El sector exterior</w:t>
      </w:r>
    </w:p>
    <w:p w:rsidR="001E1A5A" w:rsidRPr="003151DE" w:rsidRDefault="001E1A5A" w:rsidP="003151DE">
      <w:pPr>
        <w:rPr>
          <w:rFonts w:cs="Times New Roman"/>
          <w:szCs w:val="24"/>
        </w:rPr>
      </w:pPr>
    </w:p>
    <w:p w:rsidR="00BB0DCB" w:rsidRPr="00B35D88" w:rsidRDefault="003571DD" w:rsidP="003151DE">
      <w:pPr>
        <w:rPr>
          <w:rFonts w:cs="Times New Roman"/>
          <w:spacing w:val="-1"/>
          <w:szCs w:val="24"/>
        </w:rPr>
      </w:pPr>
      <w:r w:rsidRPr="00B35D88">
        <w:rPr>
          <w:spacing w:val="-1"/>
        </w:rPr>
        <w:tab/>
      </w:r>
      <w:r w:rsidRPr="00B35D88">
        <w:rPr>
          <w:spacing w:val="-1"/>
          <w:szCs w:val="24"/>
        </w:rPr>
        <w:t xml:space="preserve">Aunque el déficit de la cuenta corriente </w:t>
      </w:r>
      <w:r w:rsidR="00F425F5" w:rsidRPr="00B35D88">
        <w:rPr>
          <w:spacing w:val="-1"/>
          <w:szCs w:val="24"/>
        </w:rPr>
        <w:t>se agravó</w:t>
      </w:r>
      <w:r w:rsidRPr="00B35D88">
        <w:rPr>
          <w:spacing w:val="-1"/>
          <w:szCs w:val="24"/>
        </w:rPr>
        <w:t xml:space="preserve"> en 2011, el saldo general mejoró gracias a un considerable aumento del ingreso neto de capitales. El déficit de la cuenta corriente aumentó de un 6,1% del PIB en 2010 a un 7,9% en 2011. Las importaciones crecieron en valor desde 3.013 millones de dólares de Barbados en 2010 hasta 3.100 millones en 2011</w:t>
      </w:r>
      <w:r w:rsidR="00764418" w:rsidRPr="00B35D88">
        <w:rPr>
          <w:spacing w:val="-1"/>
          <w:szCs w:val="24"/>
        </w:rPr>
        <w:t>,</w:t>
      </w:r>
      <w:r w:rsidRPr="00B35D88">
        <w:rPr>
          <w:spacing w:val="-1"/>
          <w:szCs w:val="24"/>
        </w:rPr>
        <w:t xml:space="preserve"> debido a alzas de los precios del petróleo y de los productos básicos. Por otra parte, los ingresos por </w:t>
      </w:r>
      <w:r w:rsidR="00F95586" w:rsidRPr="00B35D88">
        <w:rPr>
          <w:spacing w:val="-1"/>
          <w:szCs w:val="24"/>
        </w:rPr>
        <w:t xml:space="preserve">concepto de </w:t>
      </w:r>
      <w:r w:rsidRPr="00B35D88">
        <w:rPr>
          <w:spacing w:val="-1"/>
          <w:szCs w:val="24"/>
        </w:rPr>
        <w:t>viajes cayer</w:t>
      </w:r>
      <w:r w:rsidR="0021145D">
        <w:rPr>
          <w:spacing w:val="-1"/>
          <w:szCs w:val="24"/>
        </w:rPr>
        <w:t>on un 6,3%, situándose en 1.940 </w:t>
      </w:r>
      <w:r w:rsidRPr="00B35D88">
        <w:rPr>
          <w:spacing w:val="-1"/>
          <w:szCs w:val="24"/>
        </w:rPr>
        <w:t>millones de dólares de Barbados. Estos factores fueron los principales responsables del incremento del déficit. La cuenta de capital experimentó una notable mejora gracias a los ingresos netos de capitales, que ascendieron a 711 millones de dólares de Barbados en 2011, lo que equivale a un incremento del 38,9% con respecto a 2010. Las transacciones inmobiliarias (por valor de 252 millones de dólares de Barbados) y la venta de acciones de la compañía eléctrica Barbados Light and Power (por valor de 188 millones) fueron las principales fuentes de ingresos de capital privado. Aunque el país recibió un préstamo de 140 millones de dólares de Barbados del Banco Interamericano de Desarrollo (BID), las entradas de capital en el sector público fueron menores que en 2010, en que se registraron ingresos por préstamos por un monto total de 200 millones de dólares de Barbados. No obstante, el país logró mantener su nivel de reservas de divisas, que solo se redujeron un 1% entre diciembre de 2010 y diciembre de 2011. Se calcula que el total de reservas internacionales a f</w:t>
      </w:r>
      <w:r w:rsidR="00B35D88" w:rsidRPr="00B35D88">
        <w:rPr>
          <w:spacing w:val="-1"/>
          <w:szCs w:val="24"/>
        </w:rPr>
        <w:t>ines de 2011 se situó en 709,95 </w:t>
      </w:r>
      <w:r w:rsidRPr="00B35D88">
        <w:rPr>
          <w:spacing w:val="-1"/>
          <w:szCs w:val="24"/>
        </w:rPr>
        <w:t xml:space="preserve">millones de dólares de los Estados Unidos, lo que </w:t>
      </w:r>
      <w:r w:rsidR="00480C5F" w:rsidRPr="00B35D88">
        <w:rPr>
          <w:spacing w:val="-1"/>
          <w:szCs w:val="24"/>
        </w:rPr>
        <w:t>supone</w:t>
      </w:r>
      <w:r w:rsidRPr="00B35D88">
        <w:rPr>
          <w:spacing w:val="-1"/>
          <w:szCs w:val="24"/>
        </w:rPr>
        <w:t xml:space="preserve"> una cobertura de 3,5 meses de importaciones.</w:t>
      </w:r>
    </w:p>
    <w:p w:rsidR="00DA6661" w:rsidRPr="003151DE" w:rsidRDefault="00DA6661" w:rsidP="003151DE">
      <w:pPr>
        <w:rPr>
          <w:rFonts w:cs="Times New Roman"/>
          <w:szCs w:val="24"/>
        </w:rPr>
      </w:pPr>
    </w:p>
    <w:p w:rsidR="00DA6661" w:rsidRPr="003151DE" w:rsidRDefault="00DA6661" w:rsidP="003151DE">
      <w:pPr>
        <w:rPr>
          <w:rFonts w:cs="Times New Roman"/>
          <w:szCs w:val="24"/>
        </w:rPr>
      </w:pPr>
    </w:p>
    <w:p w:rsidR="00DA6661" w:rsidRPr="003151DE" w:rsidRDefault="00DA6661" w:rsidP="003151DE">
      <w:pPr>
        <w:jc w:val="center"/>
        <w:rPr>
          <w:rFonts w:cs="Times New Roman"/>
          <w:b/>
          <w:szCs w:val="24"/>
        </w:rPr>
      </w:pPr>
      <w:r w:rsidRPr="003151DE">
        <w:rPr>
          <w:b/>
          <w:szCs w:val="24"/>
        </w:rPr>
        <w:t>4. Rasgos generales de la evolución reciente (primer trimestre de 2012)</w:t>
      </w:r>
    </w:p>
    <w:p w:rsidR="00DA6661" w:rsidRPr="003151DE" w:rsidRDefault="00DA6661" w:rsidP="003151DE">
      <w:pPr>
        <w:rPr>
          <w:rFonts w:cs="Times New Roman"/>
          <w:szCs w:val="24"/>
        </w:rPr>
      </w:pPr>
    </w:p>
    <w:p w:rsidR="00DA6661" w:rsidRPr="00B35D88" w:rsidRDefault="00DA6661" w:rsidP="003151DE">
      <w:pPr>
        <w:rPr>
          <w:rFonts w:cs="Times New Roman"/>
          <w:spacing w:val="3"/>
          <w:szCs w:val="24"/>
        </w:rPr>
      </w:pPr>
      <w:r w:rsidRPr="00B35D88">
        <w:rPr>
          <w:spacing w:val="3"/>
          <w:szCs w:val="24"/>
        </w:rPr>
        <w:t>La lenta recuperación económica de Barbados prosiguió durante el primer trimestre de 2012, en que el PIB creció un 1,5%, lo que supone una mejora significativa si se compara con el crecimiento anual registrado en 2011, que fue de apenas un 0,05%. El principal impulso de esa expansión fue nuevamente el turismo, que registró un aumento del número de llegadas de un 2,4% durante el trimestre y, lo que es más importante, una prolongación de la</w:t>
      </w:r>
      <w:r w:rsidR="00012A80" w:rsidRPr="00B35D88">
        <w:rPr>
          <w:spacing w:val="3"/>
          <w:szCs w:val="24"/>
        </w:rPr>
        <w:t xml:space="preserve"> duración media de la</w:t>
      </w:r>
      <w:r w:rsidR="0021145D">
        <w:rPr>
          <w:spacing w:val="3"/>
          <w:szCs w:val="24"/>
        </w:rPr>
        <w:t>s estadías de 4,7 </w:t>
      </w:r>
      <w:r w:rsidRPr="00B35D88">
        <w:rPr>
          <w:spacing w:val="3"/>
          <w:szCs w:val="24"/>
        </w:rPr>
        <w:t xml:space="preserve">a 5,2 días. Combinados, estos dos factores supusieron un incremento del valor agregado del turismo </w:t>
      </w:r>
      <w:r w:rsidR="005916B5" w:rsidRPr="00B35D88">
        <w:rPr>
          <w:spacing w:val="3"/>
          <w:szCs w:val="24"/>
        </w:rPr>
        <w:t xml:space="preserve">de </w:t>
      </w:r>
      <w:r w:rsidRPr="00B35D88">
        <w:rPr>
          <w:spacing w:val="3"/>
          <w:szCs w:val="24"/>
        </w:rPr>
        <w:t xml:space="preserve">un 5% durante el primer trimestre de 2012. El déficit fiscal también siguió </w:t>
      </w:r>
      <w:r w:rsidR="00C90B8D" w:rsidRPr="00B35D88">
        <w:rPr>
          <w:spacing w:val="3"/>
          <w:szCs w:val="24"/>
        </w:rPr>
        <w:t>una</w:t>
      </w:r>
      <w:r w:rsidRPr="00B35D88">
        <w:rPr>
          <w:spacing w:val="3"/>
          <w:szCs w:val="24"/>
        </w:rPr>
        <w:t xml:space="preserve"> evolución positiva, al reducirse de un 9,1% en el ejercicio económico 2010/2011 al 5,4% al finalizar el primer trimestre de 2012. La inflación interanual se mantuvo </w:t>
      </w:r>
      <w:r w:rsidR="008B69BF" w:rsidRPr="00B35D88">
        <w:rPr>
          <w:spacing w:val="3"/>
          <w:szCs w:val="24"/>
        </w:rPr>
        <w:t xml:space="preserve">en un nivel </w:t>
      </w:r>
      <w:r w:rsidRPr="00B35D88">
        <w:rPr>
          <w:spacing w:val="3"/>
          <w:szCs w:val="24"/>
        </w:rPr>
        <w:t>elevad</w:t>
      </w:r>
      <w:r w:rsidR="008B69BF" w:rsidRPr="00B35D88">
        <w:rPr>
          <w:spacing w:val="3"/>
          <w:szCs w:val="24"/>
        </w:rPr>
        <w:t>o, llegando al 9,7% en marzo</w:t>
      </w:r>
      <w:r w:rsidRPr="00B35D88">
        <w:rPr>
          <w:spacing w:val="3"/>
          <w:szCs w:val="24"/>
        </w:rPr>
        <w:t xml:space="preserve">, debido a alzas de precios de alimentos y combustibles y a incrementos de impuestos. Por otra parte, la tasa media de desempleo en 2011 fue de un 11,2%. La deuda del gobierno central aumentó ligeramente hasta el 73,9% del PIB a fines del primer trimestre de 2012. Ante el desempeño observado en los tres primeros meses del año, se espera que la economía de Barbados </w:t>
      </w:r>
      <w:r w:rsidR="00123109" w:rsidRPr="00B35D88">
        <w:rPr>
          <w:spacing w:val="3"/>
          <w:szCs w:val="24"/>
        </w:rPr>
        <w:t>crezca un 1% a lo largo de 2012</w:t>
      </w:r>
      <w:r w:rsidRPr="00B35D88">
        <w:rPr>
          <w:spacing w:val="3"/>
          <w:szCs w:val="24"/>
        </w:rPr>
        <w:t xml:space="preserve"> y que la construcción sea el </w:t>
      </w:r>
      <w:r w:rsidR="00123109" w:rsidRPr="00B35D88">
        <w:rPr>
          <w:spacing w:val="3"/>
          <w:szCs w:val="24"/>
        </w:rPr>
        <w:t>segundo</w:t>
      </w:r>
      <w:r w:rsidRPr="00B35D88">
        <w:rPr>
          <w:spacing w:val="3"/>
          <w:szCs w:val="24"/>
        </w:rPr>
        <w:t xml:space="preserve"> motor del crecimiento.</w:t>
      </w:r>
    </w:p>
    <w:p w:rsidR="00DA6661" w:rsidRPr="003151DE" w:rsidRDefault="00DA6661" w:rsidP="003151DE">
      <w:pPr>
        <w:rPr>
          <w:rFonts w:cs="Times New Roman"/>
          <w:szCs w:val="24"/>
        </w:rPr>
      </w:pPr>
    </w:p>
    <w:p w:rsidR="00DA6661" w:rsidRPr="003151DE" w:rsidRDefault="00DA6661" w:rsidP="003151DE">
      <w:pPr>
        <w:rPr>
          <w:rFonts w:cs="Times New Roman"/>
          <w:szCs w:val="24"/>
        </w:rPr>
      </w:pPr>
      <w:r w:rsidRPr="003151DE">
        <w:tab/>
      </w:r>
      <w:r w:rsidRPr="003151DE">
        <w:rPr>
          <w:szCs w:val="24"/>
        </w:rPr>
        <w:t xml:space="preserve">Además del turismo y la construcción, los servicios empresariales y financieros internacionales </w:t>
      </w:r>
      <w:r w:rsidR="000C3F2B" w:rsidRPr="003151DE">
        <w:rPr>
          <w:szCs w:val="24"/>
        </w:rPr>
        <w:t xml:space="preserve">también </w:t>
      </w:r>
      <w:r w:rsidRPr="003151DE">
        <w:rPr>
          <w:szCs w:val="24"/>
        </w:rPr>
        <w:t xml:space="preserve">contribuyeron al avance de la economía. El sector de la construcción se expandió un 3,4% en el primer trimestre de 2012, gracias a una mayor actividad en el sector de la vivienda y a varios proyectos </w:t>
      </w:r>
      <w:r w:rsidR="000C3F2B" w:rsidRPr="003151DE">
        <w:rPr>
          <w:szCs w:val="24"/>
        </w:rPr>
        <w:t>relacionados con la actividad turística</w:t>
      </w:r>
      <w:r w:rsidRPr="003151DE">
        <w:rPr>
          <w:szCs w:val="24"/>
        </w:rPr>
        <w:t xml:space="preserve">. Mientras tanto, el rubro de servicios empresariales y financieros </w:t>
      </w:r>
      <w:r w:rsidRPr="003151DE">
        <w:rPr>
          <w:szCs w:val="24"/>
        </w:rPr>
        <w:lastRenderedPageBreak/>
        <w:t>internacionales mantuvo su cuota de mercado</w:t>
      </w:r>
      <w:r w:rsidR="00303690" w:rsidRPr="003151DE">
        <w:rPr>
          <w:szCs w:val="24"/>
        </w:rPr>
        <w:t>,</w:t>
      </w:r>
      <w:r w:rsidRPr="003151DE">
        <w:rPr>
          <w:szCs w:val="24"/>
        </w:rPr>
        <w:t xml:space="preserve"> registr</w:t>
      </w:r>
      <w:r w:rsidR="00303690" w:rsidRPr="003151DE">
        <w:rPr>
          <w:szCs w:val="24"/>
        </w:rPr>
        <w:t>ando</w:t>
      </w:r>
      <w:r w:rsidRPr="003151DE">
        <w:rPr>
          <w:szCs w:val="24"/>
        </w:rPr>
        <w:t xml:space="preserve"> un aumento del 11,3% en el número de renovaciones de licencias durante los dos primeros meses de 2012 con respecto al mismo período del año anterior. El mejor desempeño del turismo también </w:t>
      </w:r>
      <w:r w:rsidR="00303690" w:rsidRPr="003151DE">
        <w:rPr>
          <w:szCs w:val="24"/>
        </w:rPr>
        <w:t xml:space="preserve">tuvo efectos positivos </w:t>
      </w:r>
      <w:r w:rsidRPr="003151DE">
        <w:rPr>
          <w:szCs w:val="24"/>
        </w:rPr>
        <w:t xml:space="preserve">en el comercio al por mayor y al por menor, que creció un 2%. Sin embargo, la industria manufacturera y la agricultura siguieron su evolución negativa. Se espera que la primera retroceda un 7,5% en 2012 </w:t>
      </w:r>
      <w:r w:rsidR="000C3F2B" w:rsidRPr="003151DE">
        <w:rPr>
          <w:szCs w:val="24"/>
        </w:rPr>
        <w:t>por</w:t>
      </w:r>
      <w:r w:rsidRPr="003151DE">
        <w:rPr>
          <w:szCs w:val="24"/>
        </w:rPr>
        <w:t xml:space="preserve"> la competencia de importaciones de bajo precio procedentes de China y que la agricultura (</w:t>
      </w:r>
      <w:r w:rsidR="00BE4482" w:rsidRPr="003151DE">
        <w:rPr>
          <w:szCs w:val="24"/>
        </w:rPr>
        <w:t>salvo</w:t>
      </w:r>
      <w:r w:rsidRPr="003151DE">
        <w:rPr>
          <w:szCs w:val="24"/>
        </w:rPr>
        <w:t xml:space="preserve"> el sector azucarero)</w:t>
      </w:r>
      <w:r w:rsidR="004927AB" w:rsidRPr="003151DE">
        <w:rPr>
          <w:szCs w:val="24"/>
        </w:rPr>
        <w:t xml:space="preserve"> se contraiga un 4,1% debido a condiciones meteorológicas impropias</w:t>
      </w:r>
      <w:r w:rsidRPr="003151DE">
        <w:rPr>
          <w:szCs w:val="24"/>
        </w:rPr>
        <w:t xml:space="preserve"> de la estación durante el primer trimestre de 2012.</w:t>
      </w:r>
    </w:p>
    <w:p w:rsidR="00DA6661" w:rsidRPr="003151DE" w:rsidRDefault="00DA6661" w:rsidP="003151DE">
      <w:pPr>
        <w:rPr>
          <w:rFonts w:cs="Times New Roman"/>
          <w:szCs w:val="24"/>
        </w:rPr>
      </w:pPr>
    </w:p>
    <w:p w:rsidR="00DA6661" w:rsidRPr="003151DE" w:rsidRDefault="00DA6661" w:rsidP="003151DE">
      <w:pPr>
        <w:rPr>
          <w:szCs w:val="24"/>
        </w:rPr>
      </w:pPr>
      <w:r w:rsidRPr="003151DE">
        <w:tab/>
      </w:r>
      <w:r w:rsidRPr="003151DE">
        <w:rPr>
          <w:szCs w:val="24"/>
        </w:rPr>
        <w:t>El déficit de la cuenta corriente se amplió durante los tres primeros meses de</w:t>
      </w:r>
      <w:r w:rsidR="007D436F" w:rsidRPr="003151DE">
        <w:rPr>
          <w:szCs w:val="24"/>
        </w:rPr>
        <w:t>l</w:t>
      </w:r>
      <w:r w:rsidRPr="003151DE">
        <w:rPr>
          <w:szCs w:val="24"/>
        </w:rPr>
        <w:t xml:space="preserve"> año con respecto al mismo período de 2011, después de un aumento de las importaciones de un 4,9%. Las importaciones de alimentos y bebidas se incrementaron un 6%, mientras que las exportaciones </w:t>
      </w:r>
      <w:r w:rsidR="009E6AF4" w:rsidRPr="003151DE">
        <w:rPr>
          <w:szCs w:val="24"/>
        </w:rPr>
        <w:t>crecieron</w:t>
      </w:r>
      <w:r w:rsidRPr="003151DE">
        <w:rPr>
          <w:szCs w:val="24"/>
        </w:rPr>
        <w:t xml:space="preserve"> un 5%. Aunque los ingresos netos de capitales disminuyeron en el primer trimestre de 2012 en comparación con el año anterior, bastaron para financiar el déficit de la cuenta corriente. Las reservas internacionales también se redujeron un 3,4% en los tres primeros meses del año en comparación con el mismo período de 2011.</w:t>
      </w:r>
    </w:p>
    <w:p w:rsidR="009E6AF4" w:rsidRPr="003151DE" w:rsidRDefault="009E6AF4" w:rsidP="003151DE">
      <w:pPr>
        <w:rPr>
          <w:rFonts w:cs="Times New Roman"/>
          <w:szCs w:val="24"/>
        </w:rPr>
      </w:pPr>
    </w:p>
    <w:p w:rsidR="00DA6661" w:rsidRPr="003151DE" w:rsidRDefault="00DA6661" w:rsidP="003151DE">
      <w:pPr>
        <w:rPr>
          <w:rFonts w:cs="Times New Roman"/>
          <w:szCs w:val="24"/>
        </w:rPr>
      </w:pPr>
      <w:r w:rsidRPr="003151DE">
        <w:tab/>
      </w:r>
      <w:r w:rsidRPr="003151DE">
        <w:rPr>
          <w:szCs w:val="24"/>
        </w:rPr>
        <w:t>En cuanto al sector público, la recaudación tributaria aumentó un 9% durante el ejercicio 2011/2012</w:t>
      </w:r>
      <w:r w:rsidRPr="003151DE">
        <w:rPr>
          <w:szCs w:val="24"/>
          <w:vertAlign w:val="superscript"/>
        </w:rPr>
        <w:footnoteReference w:id="1"/>
      </w:r>
      <w:r w:rsidRPr="003151DE">
        <w:rPr>
          <w:szCs w:val="24"/>
        </w:rPr>
        <w:t xml:space="preserve">, mientras que el gasto total descendió un 2%. También </w:t>
      </w:r>
      <w:r w:rsidR="00151748" w:rsidRPr="003151DE">
        <w:rPr>
          <w:szCs w:val="24"/>
        </w:rPr>
        <w:t>disminuyeron</w:t>
      </w:r>
      <w:r w:rsidRPr="003151DE">
        <w:rPr>
          <w:szCs w:val="24"/>
        </w:rPr>
        <w:t xml:space="preserve"> los gastos corrientes y de capital </w:t>
      </w:r>
      <w:r w:rsidR="00151748" w:rsidRPr="003151DE">
        <w:rPr>
          <w:szCs w:val="24"/>
        </w:rPr>
        <w:t>(</w:t>
      </w:r>
      <w:r w:rsidRPr="003151DE">
        <w:rPr>
          <w:szCs w:val="24"/>
        </w:rPr>
        <w:t>un 2% y un 14%, respectivamente</w:t>
      </w:r>
      <w:r w:rsidR="00151748" w:rsidRPr="003151DE">
        <w:rPr>
          <w:szCs w:val="24"/>
        </w:rPr>
        <w:t>)</w:t>
      </w:r>
      <w:r w:rsidRPr="003151DE">
        <w:rPr>
          <w:szCs w:val="24"/>
        </w:rPr>
        <w:t xml:space="preserve">, mientras que la deuda pública subió un 2% con respecto al año anterior, situándose en el 74% del PIB. Pese a esta evolución, el balance primario se mantuvo igual que en el primer trimestre de 2011. </w:t>
      </w:r>
    </w:p>
    <w:p w:rsidR="00DA6661" w:rsidRPr="003151DE" w:rsidRDefault="00DA6661" w:rsidP="003151DE">
      <w:pPr>
        <w:rPr>
          <w:rFonts w:cs="Times New Roman"/>
          <w:szCs w:val="24"/>
        </w:rPr>
      </w:pPr>
    </w:p>
    <w:p w:rsidR="00DA6661" w:rsidRPr="0021145D" w:rsidRDefault="00DA6661" w:rsidP="003151DE">
      <w:pPr>
        <w:rPr>
          <w:rFonts w:cs="Times New Roman"/>
          <w:spacing w:val="2"/>
          <w:szCs w:val="24"/>
        </w:rPr>
      </w:pPr>
      <w:r w:rsidRPr="0021145D">
        <w:rPr>
          <w:spacing w:val="2"/>
        </w:rPr>
        <w:tab/>
      </w:r>
      <w:r w:rsidRPr="0021145D">
        <w:rPr>
          <w:spacing w:val="2"/>
          <w:szCs w:val="24"/>
        </w:rPr>
        <w:t>En el sector financiero se registró un descenso del 0,5% de los depósitos bancarios</w:t>
      </w:r>
      <w:r w:rsidR="00151748" w:rsidRPr="0021145D">
        <w:rPr>
          <w:spacing w:val="2"/>
          <w:szCs w:val="24"/>
        </w:rPr>
        <w:t xml:space="preserve"> nacionales</w:t>
      </w:r>
      <w:r w:rsidRPr="0021145D">
        <w:rPr>
          <w:spacing w:val="2"/>
          <w:szCs w:val="24"/>
        </w:rPr>
        <w:t xml:space="preserve"> al terminar el ejercicio económico 2011/2012 con respecto al año anterior. En cambio, el crédito al sector privado no financiero aument</w:t>
      </w:r>
      <w:r w:rsidR="00BE4482" w:rsidRPr="0021145D">
        <w:rPr>
          <w:spacing w:val="2"/>
          <w:szCs w:val="24"/>
        </w:rPr>
        <w:t>ó</w:t>
      </w:r>
      <w:r w:rsidRPr="0021145D">
        <w:rPr>
          <w:spacing w:val="2"/>
          <w:szCs w:val="24"/>
        </w:rPr>
        <w:t xml:space="preserve"> un 0,3% en el mismo período. El exceso de liquidez también aumentó ligeramente, del 9,6% en diciembre de 2011 al 10,9% en marzo de 2012. Los prés</w:t>
      </w:r>
      <w:r w:rsidR="00151748" w:rsidRPr="0021145D">
        <w:rPr>
          <w:spacing w:val="2"/>
          <w:szCs w:val="24"/>
        </w:rPr>
        <w:t>tamos concedidos por cooperativas de ahorro</w:t>
      </w:r>
      <w:r w:rsidRPr="0021145D">
        <w:rPr>
          <w:spacing w:val="2"/>
          <w:szCs w:val="24"/>
        </w:rPr>
        <w:t xml:space="preserve"> crecieron un 6,5% durante 2011, en tanto que los depósitos aumentaron un 8%. </w:t>
      </w:r>
      <w:r w:rsidR="006E2126" w:rsidRPr="0021145D">
        <w:rPr>
          <w:spacing w:val="2"/>
          <w:szCs w:val="24"/>
        </w:rPr>
        <w:t>Por otra parte</w:t>
      </w:r>
      <w:r w:rsidRPr="0021145D">
        <w:rPr>
          <w:spacing w:val="2"/>
          <w:szCs w:val="24"/>
        </w:rPr>
        <w:t xml:space="preserve">, disminuyó un 1,8% la concesión de hipotecas </w:t>
      </w:r>
      <w:r w:rsidR="006E2126" w:rsidRPr="0021145D">
        <w:rPr>
          <w:spacing w:val="2"/>
          <w:szCs w:val="24"/>
        </w:rPr>
        <w:t>a particulares</w:t>
      </w:r>
      <w:r w:rsidRPr="0021145D">
        <w:rPr>
          <w:spacing w:val="2"/>
          <w:szCs w:val="24"/>
        </w:rPr>
        <w:t xml:space="preserve"> por parte de los bancos comerciales.</w:t>
      </w:r>
    </w:p>
    <w:p w:rsidR="00DA6661" w:rsidRPr="003151DE" w:rsidRDefault="00DA6661" w:rsidP="003151DE"/>
    <w:sectPr w:rsidR="00DA6661" w:rsidRPr="003151DE" w:rsidSect="003151DE">
      <w:headerReference w:type="default" r:id="rId8"/>
      <w:pgSz w:w="12240" w:h="15840" w:code="1"/>
      <w:pgMar w:top="1939" w:right="1440" w:bottom="1440" w:left="1440"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88" w:rsidRDefault="00B35D88" w:rsidP="004E173B">
      <w:r>
        <w:separator/>
      </w:r>
    </w:p>
  </w:endnote>
  <w:endnote w:type="continuationSeparator" w:id="0">
    <w:p w:rsidR="00B35D88" w:rsidRDefault="00B35D88" w:rsidP="004E1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88" w:rsidRDefault="00B35D88" w:rsidP="004E173B">
      <w:r>
        <w:separator/>
      </w:r>
    </w:p>
  </w:footnote>
  <w:footnote w:type="continuationSeparator" w:id="0">
    <w:p w:rsidR="00B35D88" w:rsidRDefault="00B35D88" w:rsidP="004E173B">
      <w:r>
        <w:continuationSeparator/>
      </w:r>
    </w:p>
  </w:footnote>
  <w:footnote w:id="1">
    <w:p w:rsidR="00B35D88" w:rsidRPr="0021145D" w:rsidRDefault="00B35D88" w:rsidP="00DA6661">
      <w:pPr>
        <w:ind w:left="284" w:hanging="284"/>
        <w:rPr>
          <w:sz w:val="20"/>
          <w:szCs w:val="20"/>
        </w:rPr>
      </w:pPr>
      <w:r w:rsidRPr="0021145D">
        <w:rPr>
          <w:sz w:val="20"/>
          <w:szCs w:val="20"/>
          <w:vertAlign w:val="superscript"/>
        </w:rPr>
        <w:footnoteRef/>
      </w:r>
      <w:r w:rsidRPr="0021145D">
        <w:rPr>
          <w:sz w:val="20"/>
          <w:szCs w:val="20"/>
        </w:rPr>
        <w:tab/>
        <w:t>El ejercicio económico de Barbados va de abril a marzo, por lo que para esta cifra se toma en cuenta el primer trimestre de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552"/>
      <w:docPartObj>
        <w:docPartGallery w:val="Page Numbers (Top of Page)"/>
        <w:docPartUnique/>
      </w:docPartObj>
    </w:sdtPr>
    <w:sdtContent>
      <w:p w:rsidR="00B35D88" w:rsidRDefault="00E36447" w:rsidP="003151DE">
        <w:pPr>
          <w:pStyle w:val="Header"/>
          <w:jc w:val="center"/>
        </w:pPr>
        <w:fldSimple w:instr=" PAGE   \* MERGEFORMAT ">
          <w:r w:rsidR="0042233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85"/>
    <w:multiLevelType w:val="hybridMultilevel"/>
    <w:tmpl w:val="55ACFD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780EA2"/>
    <w:multiLevelType w:val="hybridMultilevel"/>
    <w:tmpl w:val="B2806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AF13AE"/>
    <w:multiLevelType w:val="multilevel"/>
    <w:tmpl w:val="6D8AD7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C610821"/>
    <w:multiLevelType w:val="hybridMultilevel"/>
    <w:tmpl w:val="358461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4304DE"/>
    <w:rsid w:val="00003694"/>
    <w:rsid w:val="000049C4"/>
    <w:rsid w:val="0001046E"/>
    <w:rsid w:val="00012A80"/>
    <w:rsid w:val="00016FCA"/>
    <w:rsid w:val="00037613"/>
    <w:rsid w:val="00062D92"/>
    <w:rsid w:val="00072B4C"/>
    <w:rsid w:val="000865C2"/>
    <w:rsid w:val="00090225"/>
    <w:rsid w:val="000C3F2B"/>
    <w:rsid w:val="000D085E"/>
    <w:rsid w:val="000D0DD4"/>
    <w:rsid w:val="000D315B"/>
    <w:rsid w:val="000F50CB"/>
    <w:rsid w:val="000F557D"/>
    <w:rsid w:val="00123109"/>
    <w:rsid w:val="001327A1"/>
    <w:rsid w:val="001454E7"/>
    <w:rsid w:val="00150230"/>
    <w:rsid w:val="00151748"/>
    <w:rsid w:val="001544AA"/>
    <w:rsid w:val="00172FFB"/>
    <w:rsid w:val="001739CB"/>
    <w:rsid w:val="001755BC"/>
    <w:rsid w:val="00181321"/>
    <w:rsid w:val="001A7ACD"/>
    <w:rsid w:val="001D1B41"/>
    <w:rsid w:val="001E15DA"/>
    <w:rsid w:val="001E1A5A"/>
    <w:rsid w:val="001F2795"/>
    <w:rsid w:val="001F5378"/>
    <w:rsid w:val="002007F3"/>
    <w:rsid w:val="0020303E"/>
    <w:rsid w:val="00210B9B"/>
    <w:rsid w:val="0021145D"/>
    <w:rsid w:val="002138F2"/>
    <w:rsid w:val="00226CE9"/>
    <w:rsid w:val="002312DE"/>
    <w:rsid w:val="002528EC"/>
    <w:rsid w:val="00274838"/>
    <w:rsid w:val="0027645F"/>
    <w:rsid w:val="0029142A"/>
    <w:rsid w:val="002B0ADB"/>
    <w:rsid w:val="002C2B76"/>
    <w:rsid w:val="002C427E"/>
    <w:rsid w:val="002D6B3B"/>
    <w:rsid w:val="00303690"/>
    <w:rsid w:val="003151DE"/>
    <w:rsid w:val="0035231C"/>
    <w:rsid w:val="00352AA1"/>
    <w:rsid w:val="003571DD"/>
    <w:rsid w:val="00361BCC"/>
    <w:rsid w:val="00387D43"/>
    <w:rsid w:val="003A7203"/>
    <w:rsid w:val="003B3C4C"/>
    <w:rsid w:val="003D1E18"/>
    <w:rsid w:val="003D30B0"/>
    <w:rsid w:val="003D6FD0"/>
    <w:rsid w:val="003E45AF"/>
    <w:rsid w:val="003E6589"/>
    <w:rsid w:val="003F0580"/>
    <w:rsid w:val="00405D7C"/>
    <w:rsid w:val="0040710F"/>
    <w:rsid w:val="0041148E"/>
    <w:rsid w:val="00422332"/>
    <w:rsid w:val="004256EC"/>
    <w:rsid w:val="004304DE"/>
    <w:rsid w:val="00437B3D"/>
    <w:rsid w:val="004453B3"/>
    <w:rsid w:val="00470323"/>
    <w:rsid w:val="00480C5F"/>
    <w:rsid w:val="00482904"/>
    <w:rsid w:val="004927AB"/>
    <w:rsid w:val="0049679E"/>
    <w:rsid w:val="004A072F"/>
    <w:rsid w:val="004C4C89"/>
    <w:rsid w:val="004D55F0"/>
    <w:rsid w:val="004E173B"/>
    <w:rsid w:val="004E4E08"/>
    <w:rsid w:val="004E5F3F"/>
    <w:rsid w:val="004F5DB3"/>
    <w:rsid w:val="00515405"/>
    <w:rsid w:val="005208B2"/>
    <w:rsid w:val="00523189"/>
    <w:rsid w:val="00526C1F"/>
    <w:rsid w:val="00533EE0"/>
    <w:rsid w:val="00537A37"/>
    <w:rsid w:val="00537C2F"/>
    <w:rsid w:val="005532CB"/>
    <w:rsid w:val="0055368B"/>
    <w:rsid w:val="0055426D"/>
    <w:rsid w:val="00557954"/>
    <w:rsid w:val="0056023C"/>
    <w:rsid w:val="00561318"/>
    <w:rsid w:val="00561817"/>
    <w:rsid w:val="00571773"/>
    <w:rsid w:val="005754DE"/>
    <w:rsid w:val="00577632"/>
    <w:rsid w:val="00577EB2"/>
    <w:rsid w:val="005916B5"/>
    <w:rsid w:val="00595C73"/>
    <w:rsid w:val="005A45D2"/>
    <w:rsid w:val="005A4E5F"/>
    <w:rsid w:val="005A5FD0"/>
    <w:rsid w:val="005B1200"/>
    <w:rsid w:val="005B442F"/>
    <w:rsid w:val="00605BED"/>
    <w:rsid w:val="00614103"/>
    <w:rsid w:val="00621A89"/>
    <w:rsid w:val="00644443"/>
    <w:rsid w:val="00646413"/>
    <w:rsid w:val="0064724F"/>
    <w:rsid w:val="00651C7C"/>
    <w:rsid w:val="00656647"/>
    <w:rsid w:val="00662D22"/>
    <w:rsid w:val="0066371D"/>
    <w:rsid w:val="00682E1B"/>
    <w:rsid w:val="00684735"/>
    <w:rsid w:val="00685149"/>
    <w:rsid w:val="006B0E86"/>
    <w:rsid w:val="006C0ED4"/>
    <w:rsid w:val="006D7E87"/>
    <w:rsid w:val="006E2126"/>
    <w:rsid w:val="006F5EC6"/>
    <w:rsid w:val="00705E98"/>
    <w:rsid w:val="007123EF"/>
    <w:rsid w:val="00727BAF"/>
    <w:rsid w:val="0073059B"/>
    <w:rsid w:val="00730ADF"/>
    <w:rsid w:val="00747CA9"/>
    <w:rsid w:val="00764418"/>
    <w:rsid w:val="00770340"/>
    <w:rsid w:val="00772B01"/>
    <w:rsid w:val="0077399A"/>
    <w:rsid w:val="007747C3"/>
    <w:rsid w:val="00777D58"/>
    <w:rsid w:val="0079444F"/>
    <w:rsid w:val="007B79B1"/>
    <w:rsid w:val="007D436F"/>
    <w:rsid w:val="007F4C61"/>
    <w:rsid w:val="00800A5E"/>
    <w:rsid w:val="008204AB"/>
    <w:rsid w:val="00826E4C"/>
    <w:rsid w:val="0082769F"/>
    <w:rsid w:val="00835337"/>
    <w:rsid w:val="0084791A"/>
    <w:rsid w:val="0089218A"/>
    <w:rsid w:val="008B025F"/>
    <w:rsid w:val="008B1B95"/>
    <w:rsid w:val="008B5FEC"/>
    <w:rsid w:val="008B69BF"/>
    <w:rsid w:val="008D4E7E"/>
    <w:rsid w:val="008F22BB"/>
    <w:rsid w:val="009201A0"/>
    <w:rsid w:val="00921CCB"/>
    <w:rsid w:val="0092657B"/>
    <w:rsid w:val="0095039E"/>
    <w:rsid w:val="009543C5"/>
    <w:rsid w:val="009607D6"/>
    <w:rsid w:val="0096798A"/>
    <w:rsid w:val="0097172F"/>
    <w:rsid w:val="0097705E"/>
    <w:rsid w:val="0098430C"/>
    <w:rsid w:val="00984535"/>
    <w:rsid w:val="00986BAA"/>
    <w:rsid w:val="009A78E7"/>
    <w:rsid w:val="009A7B52"/>
    <w:rsid w:val="009B5357"/>
    <w:rsid w:val="009C237F"/>
    <w:rsid w:val="009D59E3"/>
    <w:rsid w:val="009E29C6"/>
    <w:rsid w:val="009E6AF4"/>
    <w:rsid w:val="009F159D"/>
    <w:rsid w:val="009F15A3"/>
    <w:rsid w:val="009F2AF3"/>
    <w:rsid w:val="009F6685"/>
    <w:rsid w:val="00A02302"/>
    <w:rsid w:val="00A06F53"/>
    <w:rsid w:val="00A072AE"/>
    <w:rsid w:val="00A1401B"/>
    <w:rsid w:val="00A140C0"/>
    <w:rsid w:val="00A42043"/>
    <w:rsid w:val="00A67853"/>
    <w:rsid w:val="00A827A9"/>
    <w:rsid w:val="00A855EA"/>
    <w:rsid w:val="00A94CF9"/>
    <w:rsid w:val="00AD607A"/>
    <w:rsid w:val="00AE28C4"/>
    <w:rsid w:val="00AE4468"/>
    <w:rsid w:val="00AE73EF"/>
    <w:rsid w:val="00B0584D"/>
    <w:rsid w:val="00B17115"/>
    <w:rsid w:val="00B2364A"/>
    <w:rsid w:val="00B32704"/>
    <w:rsid w:val="00B35D88"/>
    <w:rsid w:val="00B47D14"/>
    <w:rsid w:val="00B52AE0"/>
    <w:rsid w:val="00BA33A4"/>
    <w:rsid w:val="00BA74BC"/>
    <w:rsid w:val="00BB0DCB"/>
    <w:rsid w:val="00BB118B"/>
    <w:rsid w:val="00BB2F57"/>
    <w:rsid w:val="00BD3DF6"/>
    <w:rsid w:val="00BE4482"/>
    <w:rsid w:val="00BF218C"/>
    <w:rsid w:val="00C07B0C"/>
    <w:rsid w:val="00C373D6"/>
    <w:rsid w:val="00C735F4"/>
    <w:rsid w:val="00C90B8D"/>
    <w:rsid w:val="00CD3A6E"/>
    <w:rsid w:val="00CE7952"/>
    <w:rsid w:val="00CF04BD"/>
    <w:rsid w:val="00D00478"/>
    <w:rsid w:val="00D12F5F"/>
    <w:rsid w:val="00D1386F"/>
    <w:rsid w:val="00D469F7"/>
    <w:rsid w:val="00D61A83"/>
    <w:rsid w:val="00D6279E"/>
    <w:rsid w:val="00D63C77"/>
    <w:rsid w:val="00D900C7"/>
    <w:rsid w:val="00D90C4C"/>
    <w:rsid w:val="00DA6661"/>
    <w:rsid w:val="00DC03CC"/>
    <w:rsid w:val="00DD3DE5"/>
    <w:rsid w:val="00DF5AC3"/>
    <w:rsid w:val="00DF637C"/>
    <w:rsid w:val="00DF760E"/>
    <w:rsid w:val="00E05FCB"/>
    <w:rsid w:val="00E314CB"/>
    <w:rsid w:val="00E36447"/>
    <w:rsid w:val="00E41337"/>
    <w:rsid w:val="00E417A2"/>
    <w:rsid w:val="00E43C59"/>
    <w:rsid w:val="00E63EBB"/>
    <w:rsid w:val="00E65E64"/>
    <w:rsid w:val="00E77873"/>
    <w:rsid w:val="00E820FE"/>
    <w:rsid w:val="00E83720"/>
    <w:rsid w:val="00E94A79"/>
    <w:rsid w:val="00EB1681"/>
    <w:rsid w:val="00EC7550"/>
    <w:rsid w:val="00EE6F06"/>
    <w:rsid w:val="00EE727D"/>
    <w:rsid w:val="00F24BAA"/>
    <w:rsid w:val="00F32221"/>
    <w:rsid w:val="00F3299D"/>
    <w:rsid w:val="00F33EB3"/>
    <w:rsid w:val="00F40CD3"/>
    <w:rsid w:val="00F425F5"/>
    <w:rsid w:val="00F56213"/>
    <w:rsid w:val="00F57DD0"/>
    <w:rsid w:val="00F80BAE"/>
    <w:rsid w:val="00F80BB8"/>
    <w:rsid w:val="00F95586"/>
    <w:rsid w:val="00FD1335"/>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DE"/>
    <w:pPr>
      <w:jc w:val="both"/>
    </w:pPr>
    <w:rPr>
      <w:rFonts w:ascii="Times New Roman" w:hAnsi="Times New Roman" w:cs="Calibr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5B120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locked/>
    <w:rsid w:val="005B1200"/>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B120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locked/>
    <w:rsid w:val="005B1200"/>
    <w:rPr>
      <w:rFonts w:ascii="Arial" w:hAnsi="Arial" w:cs="Arial"/>
      <w:vanish/>
      <w:sz w:val="16"/>
      <w:szCs w:val="16"/>
    </w:rPr>
  </w:style>
  <w:style w:type="paragraph" w:styleId="Header">
    <w:name w:val="header"/>
    <w:basedOn w:val="Normal"/>
    <w:link w:val="HeaderChar"/>
    <w:uiPriority w:val="99"/>
    <w:unhideWhenUsed/>
    <w:rsid w:val="003151DE"/>
    <w:pPr>
      <w:tabs>
        <w:tab w:val="center" w:pos="4419"/>
        <w:tab w:val="right" w:pos="8838"/>
      </w:tabs>
    </w:pPr>
  </w:style>
  <w:style w:type="character" w:customStyle="1" w:styleId="HeaderChar">
    <w:name w:val="Header Char"/>
    <w:basedOn w:val="DefaultParagraphFont"/>
    <w:link w:val="Header"/>
    <w:uiPriority w:val="99"/>
    <w:rsid w:val="003151DE"/>
    <w:rPr>
      <w:rFonts w:ascii="Times New Roman" w:hAnsi="Times New Roman" w:cs="Calibri"/>
      <w:sz w:val="22"/>
      <w:szCs w:val="22"/>
      <w:lang w:val="es-ES_tradnl"/>
    </w:rPr>
  </w:style>
  <w:style w:type="paragraph" w:styleId="Footer">
    <w:name w:val="footer"/>
    <w:basedOn w:val="Normal"/>
    <w:link w:val="FooterChar"/>
    <w:uiPriority w:val="99"/>
    <w:semiHidden/>
    <w:unhideWhenUsed/>
    <w:rsid w:val="003151DE"/>
    <w:pPr>
      <w:tabs>
        <w:tab w:val="center" w:pos="4419"/>
        <w:tab w:val="right" w:pos="8838"/>
      </w:tabs>
    </w:pPr>
  </w:style>
  <w:style w:type="character" w:customStyle="1" w:styleId="FooterChar">
    <w:name w:val="Footer Char"/>
    <w:basedOn w:val="DefaultParagraphFont"/>
    <w:link w:val="Footer"/>
    <w:uiPriority w:val="99"/>
    <w:semiHidden/>
    <w:rsid w:val="003151DE"/>
    <w:rPr>
      <w:rFonts w:ascii="Times New Roman" w:hAnsi="Times New Roman" w:cs="Calibri"/>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420673">
      <w:marLeft w:val="0"/>
      <w:marRight w:val="0"/>
      <w:marTop w:val="0"/>
      <w:marBottom w:val="0"/>
      <w:divBdr>
        <w:top w:val="none" w:sz="0" w:space="0" w:color="auto"/>
        <w:left w:val="none" w:sz="0" w:space="0" w:color="auto"/>
        <w:bottom w:val="none" w:sz="0" w:space="0" w:color="auto"/>
        <w:right w:val="none" w:sz="0" w:space="0" w:color="auto"/>
      </w:divBdr>
      <w:divsChild>
        <w:div w:id="1785420691">
          <w:marLeft w:val="0"/>
          <w:marRight w:val="0"/>
          <w:marTop w:val="0"/>
          <w:marBottom w:val="0"/>
          <w:divBdr>
            <w:top w:val="none" w:sz="0" w:space="0" w:color="auto"/>
            <w:left w:val="none" w:sz="0" w:space="0" w:color="auto"/>
            <w:bottom w:val="none" w:sz="0" w:space="0" w:color="auto"/>
            <w:right w:val="none" w:sz="0" w:space="0" w:color="auto"/>
          </w:divBdr>
          <w:divsChild>
            <w:div w:id="1785420671">
              <w:marLeft w:val="0"/>
              <w:marRight w:val="0"/>
              <w:marTop w:val="0"/>
              <w:marBottom w:val="0"/>
              <w:divBdr>
                <w:top w:val="none" w:sz="0" w:space="0" w:color="auto"/>
                <w:left w:val="none" w:sz="0" w:space="0" w:color="auto"/>
                <w:bottom w:val="none" w:sz="0" w:space="0" w:color="auto"/>
                <w:right w:val="none" w:sz="0" w:space="0" w:color="auto"/>
              </w:divBdr>
              <w:divsChild>
                <w:div w:id="1785420687">
                  <w:marLeft w:val="0"/>
                  <w:marRight w:val="0"/>
                  <w:marTop w:val="0"/>
                  <w:marBottom w:val="0"/>
                  <w:divBdr>
                    <w:top w:val="none" w:sz="0" w:space="0" w:color="auto"/>
                    <w:left w:val="none" w:sz="0" w:space="0" w:color="auto"/>
                    <w:bottom w:val="none" w:sz="0" w:space="0" w:color="auto"/>
                    <w:right w:val="none" w:sz="0" w:space="0" w:color="auto"/>
                  </w:divBdr>
                  <w:divsChild>
                    <w:div w:id="1785420681">
                      <w:marLeft w:val="0"/>
                      <w:marRight w:val="0"/>
                      <w:marTop w:val="0"/>
                      <w:marBottom w:val="0"/>
                      <w:divBdr>
                        <w:top w:val="none" w:sz="0" w:space="0" w:color="auto"/>
                        <w:left w:val="none" w:sz="0" w:space="0" w:color="auto"/>
                        <w:bottom w:val="none" w:sz="0" w:space="0" w:color="auto"/>
                        <w:right w:val="none" w:sz="0" w:space="0" w:color="auto"/>
                      </w:divBdr>
                      <w:divsChild>
                        <w:div w:id="1785420665">
                          <w:marLeft w:val="0"/>
                          <w:marRight w:val="0"/>
                          <w:marTop w:val="0"/>
                          <w:marBottom w:val="0"/>
                          <w:divBdr>
                            <w:top w:val="none" w:sz="0" w:space="0" w:color="auto"/>
                            <w:left w:val="none" w:sz="0" w:space="0" w:color="auto"/>
                            <w:bottom w:val="none" w:sz="0" w:space="0" w:color="auto"/>
                            <w:right w:val="none" w:sz="0" w:space="0" w:color="auto"/>
                          </w:divBdr>
                        </w:div>
                        <w:div w:id="1785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0700">
              <w:marLeft w:val="0"/>
              <w:marRight w:val="0"/>
              <w:marTop w:val="0"/>
              <w:marBottom w:val="0"/>
              <w:divBdr>
                <w:top w:val="none" w:sz="0" w:space="0" w:color="auto"/>
                <w:left w:val="none" w:sz="0" w:space="0" w:color="auto"/>
                <w:bottom w:val="none" w:sz="0" w:space="0" w:color="auto"/>
                <w:right w:val="none" w:sz="0" w:space="0" w:color="auto"/>
              </w:divBdr>
              <w:divsChild>
                <w:div w:id="1785420704">
                  <w:marLeft w:val="0"/>
                  <w:marRight w:val="0"/>
                  <w:marTop w:val="0"/>
                  <w:marBottom w:val="0"/>
                  <w:divBdr>
                    <w:top w:val="none" w:sz="0" w:space="0" w:color="auto"/>
                    <w:left w:val="none" w:sz="0" w:space="0" w:color="auto"/>
                    <w:bottom w:val="none" w:sz="0" w:space="0" w:color="auto"/>
                    <w:right w:val="none" w:sz="0" w:space="0" w:color="auto"/>
                  </w:divBdr>
                  <w:divsChild>
                    <w:div w:id="1785420664">
                      <w:marLeft w:val="0"/>
                      <w:marRight w:val="0"/>
                      <w:marTop w:val="0"/>
                      <w:marBottom w:val="0"/>
                      <w:divBdr>
                        <w:top w:val="none" w:sz="0" w:space="0" w:color="auto"/>
                        <w:left w:val="none" w:sz="0" w:space="0" w:color="auto"/>
                        <w:bottom w:val="none" w:sz="0" w:space="0" w:color="auto"/>
                        <w:right w:val="none" w:sz="0" w:space="0" w:color="auto"/>
                      </w:divBdr>
                      <w:divsChild>
                        <w:div w:id="1785420668">
                          <w:marLeft w:val="0"/>
                          <w:marRight w:val="0"/>
                          <w:marTop w:val="0"/>
                          <w:marBottom w:val="0"/>
                          <w:divBdr>
                            <w:top w:val="none" w:sz="0" w:space="0" w:color="auto"/>
                            <w:left w:val="none" w:sz="0" w:space="0" w:color="auto"/>
                            <w:bottom w:val="none" w:sz="0" w:space="0" w:color="auto"/>
                            <w:right w:val="none" w:sz="0" w:space="0" w:color="auto"/>
                          </w:divBdr>
                        </w:div>
                        <w:div w:id="1785420685">
                          <w:marLeft w:val="0"/>
                          <w:marRight w:val="0"/>
                          <w:marTop w:val="0"/>
                          <w:marBottom w:val="0"/>
                          <w:divBdr>
                            <w:top w:val="none" w:sz="0" w:space="0" w:color="auto"/>
                            <w:left w:val="none" w:sz="0" w:space="0" w:color="auto"/>
                            <w:bottom w:val="none" w:sz="0" w:space="0" w:color="auto"/>
                            <w:right w:val="none" w:sz="0" w:space="0" w:color="auto"/>
                          </w:divBdr>
                        </w:div>
                      </w:divsChild>
                    </w:div>
                    <w:div w:id="1785420684">
                      <w:marLeft w:val="0"/>
                      <w:marRight w:val="0"/>
                      <w:marTop w:val="0"/>
                      <w:marBottom w:val="0"/>
                      <w:divBdr>
                        <w:top w:val="none" w:sz="0" w:space="0" w:color="auto"/>
                        <w:left w:val="none" w:sz="0" w:space="0" w:color="auto"/>
                        <w:bottom w:val="none" w:sz="0" w:space="0" w:color="auto"/>
                        <w:right w:val="none" w:sz="0" w:space="0" w:color="auto"/>
                      </w:divBdr>
                      <w:divsChild>
                        <w:div w:id="1785420678">
                          <w:marLeft w:val="0"/>
                          <w:marRight w:val="0"/>
                          <w:marTop w:val="0"/>
                          <w:marBottom w:val="0"/>
                          <w:divBdr>
                            <w:top w:val="none" w:sz="0" w:space="0" w:color="auto"/>
                            <w:left w:val="none" w:sz="0" w:space="0" w:color="auto"/>
                            <w:bottom w:val="none" w:sz="0" w:space="0" w:color="auto"/>
                            <w:right w:val="none" w:sz="0" w:space="0" w:color="auto"/>
                          </w:divBdr>
                          <w:divsChild>
                            <w:div w:id="1785420707">
                              <w:marLeft w:val="0"/>
                              <w:marRight w:val="0"/>
                              <w:marTop w:val="0"/>
                              <w:marBottom w:val="0"/>
                              <w:divBdr>
                                <w:top w:val="none" w:sz="0" w:space="0" w:color="auto"/>
                                <w:left w:val="none" w:sz="0" w:space="0" w:color="auto"/>
                                <w:bottom w:val="none" w:sz="0" w:space="0" w:color="auto"/>
                                <w:right w:val="none" w:sz="0" w:space="0" w:color="auto"/>
                              </w:divBdr>
                            </w:div>
                          </w:divsChild>
                        </w:div>
                        <w:div w:id="1785420689">
                          <w:marLeft w:val="0"/>
                          <w:marRight w:val="0"/>
                          <w:marTop w:val="0"/>
                          <w:marBottom w:val="150"/>
                          <w:divBdr>
                            <w:top w:val="none" w:sz="0" w:space="0" w:color="auto"/>
                            <w:left w:val="none" w:sz="0" w:space="0" w:color="auto"/>
                            <w:bottom w:val="none" w:sz="0" w:space="0" w:color="auto"/>
                            <w:right w:val="none" w:sz="0" w:space="0" w:color="auto"/>
                          </w:divBdr>
                          <w:divsChild>
                            <w:div w:id="17854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0686">
                      <w:marLeft w:val="0"/>
                      <w:marRight w:val="0"/>
                      <w:marTop w:val="0"/>
                      <w:marBottom w:val="0"/>
                      <w:divBdr>
                        <w:top w:val="none" w:sz="0" w:space="0" w:color="auto"/>
                        <w:left w:val="none" w:sz="0" w:space="0" w:color="auto"/>
                        <w:bottom w:val="none" w:sz="0" w:space="0" w:color="auto"/>
                        <w:right w:val="none" w:sz="0" w:space="0" w:color="auto"/>
                      </w:divBdr>
                      <w:divsChild>
                        <w:div w:id="1785420701">
                          <w:marLeft w:val="0"/>
                          <w:marRight w:val="0"/>
                          <w:marTop w:val="0"/>
                          <w:marBottom w:val="0"/>
                          <w:divBdr>
                            <w:top w:val="none" w:sz="0" w:space="0" w:color="auto"/>
                            <w:left w:val="none" w:sz="0" w:space="0" w:color="auto"/>
                            <w:bottom w:val="none" w:sz="0" w:space="0" w:color="auto"/>
                            <w:right w:val="none" w:sz="0" w:space="0" w:color="auto"/>
                          </w:divBdr>
                          <w:divsChild>
                            <w:div w:id="1785420699">
                              <w:marLeft w:val="0"/>
                              <w:marRight w:val="0"/>
                              <w:marTop w:val="0"/>
                              <w:marBottom w:val="0"/>
                              <w:divBdr>
                                <w:top w:val="none" w:sz="0" w:space="0" w:color="auto"/>
                                <w:left w:val="none" w:sz="0" w:space="0" w:color="auto"/>
                                <w:bottom w:val="none" w:sz="0" w:space="0" w:color="auto"/>
                                <w:right w:val="none" w:sz="0" w:space="0" w:color="auto"/>
                              </w:divBdr>
                              <w:divsChild>
                                <w:div w:id="1785420694">
                                  <w:marLeft w:val="0"/>
                                  <w:marRight w:val="0"/>
                                  <w:marTop w:val="0"/>
                                  <w:marBottom w:val="0"/>
                                  <w:divBdr>
                                    <w:top w:val="none" w:sz="0" w:space="0" w:color="auto"/>
                                    <w:left w:val="none" w:sz="0" w:space="0" w:color="auto"/>
                                    <w:bottom w:val="none" w:sz="0" w:space="0" w:color="auto"/>
                                    <w:right w:val="none" w:sz="0" w:space="0" w:color="auto"/>
                                  </w:divBdr>
                                  <w:divsChild>
                                    <w:div w:id="1785420676">
                                      <w:marLeft w:val="0"/>
                                      <w:marRight w:val="0"/>
                                      <w:marTop w:val="0"/>
                                      <w:marBottom w:val="0"/>
                                      <w:divBdr>
                                        <w:top w:val="none" w:sz="0" w:space="0" w:color="auto"/>
                                        <w:left w:val="none" w:sz="0" w:space="0" w:color="auto"/>
                                        <w:bottom w:val="none" w:sz="0" w:space="0" w:color="auto"/>
                                        <w:right w:val="none" w:sz="0" w:space="0" w:color="auto"/>
                                      </w:divBdr>
                                      <w:divsChild>
                                        <w:div w:id="1785420663">
                                          <w:marLeft w:val="0"/>
                                          <w:marRight w:val="0"/>
                                          <w:marTop w:val="0"/>
                                          <w:marBottom w:val="0"/>
                                          <w:divBdr>
                                            <w:top w:val="none" w:sz="0" w:space="0" w:color="auto"/>
                                            <w:left w:val="none" w:sz="0" w:space="0" w:color="auto"/>
                                            <w:bottom w:val="none" w:sz="0" w:space="0" w:color="auto"/>
                                            <w:right w:val="none" w:sz="0" w:space="0" w:color="auto"/>
                                          </w:divBdr>
                                          <w:divsChild>
                                            <w:div w:id="1785420669">
                                              <w:marLeft w:val="0"/>
                                              <w:marRight w:val="0"/>
                                              <w:marTop w:val="0"/>
                                              <w:marBottom w:val="0"/>
                                              <w:divBdr>
                                                <w:top w:val="none" w:sz="0" w:space="0" w:color="auto"/>
                                                <w:left w:val="none" w:sz="0" w:space="0" w:color="auto"/>
                                                <w:bottom w:val="none" w:sz="0" w:space="0" w:color="auto"/>
                                                <w:right w:val="none" w:sz="0" w:space="0" w:color="auto"/>
                                              </w:divBdr>
                                            </w:div>
                                          </w:divsChild>
                                        </w:div>
                                        <w:div w:id="1785420672">
                                          <w:marLeft w:val="0"/>
                                          <w:marRight w:val="0"/>
                                          <w:marTop w:val="0"/>
                                          <w:marBottom w:val="0"/>
                                          <w:divBdr>
                                            <w:top w:val="none" w:sz="0" w:space="0" w:color="auto"/>
                                            <w:left w:val="none" w:sz="0" w:space="0" w:color="auto"/>
                                            <w:bottom w:val="none" w:sz="0" w:space="0" w:color="auto"/>
                                            <w:right w:val="none" w:sz="0" w:space="0" w:color="auto"/>
                                          </w:divBdr>
                                          <w:divsChild>
                                            <w:div w:id="1785420682">
                                              <w:marLeft w:val="0"/>
                                              <w:marRight w:val="0"/>
                                              <w:marTop w:val="0"/>
                                              <w:marBottom w:val="0"/>
                                              <w:divBdr>
                                                <w:top w:val="none" w:sz="0" w:space="0" w:color="auto"/>
                                                <w:left w:val="none" w:sz="0" w:space="0" w:color="auto"/>
                                                <w:bottom w:val="none" w:sz="0" w:space="0" w:color="auto"/>
                                                <w:right w:val="none" w:sz="0" w:space="0" w:color="auto"/>
                                              </w:divBdr>
                                            </w:div>
                                          </w:divsChild>
                                        </w:div>
                                        <w:div w:id="1785420695">
                                          <w:marLeft w:val="0"/>
                                          <w:marRight w:val="0"/>
                                          <w:marTop w:val="0"/>
                                          <w:marBottom w:val="0"/>
                                          <w:divBdr>
                                            <w:top w:val="none" w:sz="0" w:space="0" w:color="auto"/>
                                            <w:left w:val="none" w:sz="0" w:space="0" w:color="auto"/>
                                            <w:bottom w:val="none" w:sz="0" w:space="0" w:color="auto"/>
                                            <w:right w:val="none" w:sz="0" w:space="0" w:color="auto"/>
                                          </w:divBdr>
                                          <w:divsChild>
                                            <w:div w:id="1785420708">
                                              <w:marLeft w:val="0"/>
                                              <w:marRight w:val="0"/>
                                              <w:marTop w:val="0"/>
                                              <w:marBottom w:val="0"/>
                                              <w:divBdr>
                                                <w:top w:val="none" w:sz="0" w:space="0" w:color="auto"/>
                                                <w:left w:val="none" w:sz="0" w:space="0" w:color="auto"/>
                                                <w:bottom w:val="none" w:sz="0" w:space="0" w:color="auto"/>
                                                <w:right w:val="none" w:sz="0" w:space="0" w:color="auto"/>
                                              </w:divBdr>
                                            </w:div>
                                          </w:divsChild>
                                        </w:div>
                                        <w:div w:id="1785420697">
                                          <w:marLeft w:val="0"/>
                                          <w:marRight w:val="0"/>
                                          <w:marTop w:val="0"/>
                                          <w:marBottom w:val="0"/>
                                          <w:divBdr>
                                            <w:top w:val="none" w:sz="0" w:space="0" w:color="auto"/>
                                            <w:left w:val="none" w:sz="0" w:space="0" w:color="auto"/>
                                            <w:bottom w:val="none" w:sz="0" w:space="0" w:color="auto"/>
                                            <w:right w:val="none" w:sz="0" w:space="0" w:color="auto"/>
                                          </w:divBdr>
                                          <w:divsChild>
                                            <w:div w:id="1785420698">
                                              <w:marLeft w:val="0"/>
                                              <w:marRight w:val="0"/>
                                              <w:marTop w:val="0"/>
                                              <w:marBottom w:val="0"/>
                                              <w:divBdr>
                                                <w:top w:val="none" w:sz="0" w:space="0" w:color="auto"/>
                                                <w:left w:val="none" w:sz="0" w:space="0" w:color="auto"/>
                                                <w:bottom w:val="none" w:sz="0" w:space="0" w:color="auto"/>
                                                <w:right w:val="none" w:sz="0" w:space="0" w:color="auto"/>
                                              </w:divBdr>
                                            </w:div>
                                          </w:divsChild>
                                        </w:div>
                                        <w:div w:id="1785420706">
                                          <w:marLeft w:val="0"/>
                                          <w:marRight w:val="0"/>
                                          <w:marTop w:val="0"/>
                                          <w:marBottom w:val="0"/>
                                          <w:divBdr>
                                            <w:top w:val="none" w:sz="0" w:space="0" w:color="auto"/>
                                            <w:left w:val="none" w:sz="0" w:space="0" w:color="auto"/>
                                            <w:bottom w:val="none" w:sz="0" w:space="0" w:color="auto"/>
                                            <w:right w:val="none" w:sz="0" w:space="0" w:color="auto"/>
                                          </w:divBdr>
                                          <w:divsChild>
                                            <w:div w:id="1785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0690">
                      <w:marLeft w:val="0"/>
                      <w:marRight w:val="0"/>
                      <w:marTop w:val="0"/>
                      <w:marBottom w:val="0"/>
                      <w:divBdr>
                        <w:top w:val="none" w:sz="0" w:space="0" w:color="auto"/>
                        <w:left w:val="none" w:sz="0" w:space="0" w:color="auto"/>
                        <w:bottom w:val="none" w:sz="0" w:space="0" w:color="auto"/>
                        <w:right w:val="none" w:sz="0" w:space="0" w:color="auto"/>
                      </w:divBdr>
                      <w:divsChild>
                        <w:div w:id="1785420666">
                          <w:marLeft w:val="0"/>
                          <w:marRight w:val="0"/>
                          <w:marTop w:val="0"/>
                          <w:marBottom w:val="0"/>
                          <w:divBdr>
                            <w:top w:val="none" w:sz="0" w:space="0" w:color="auto"/>
                            <w:left w:val="none" w:sz="0" w:space="0" w:color="auto"/>
                            <w:bottom w:val="none" w:sz="0" w:space="0" w:color="auto"/>
                            <w:right w:val="none" w:sz="0" w:space="0" w:color="auto"/>
                          </w:divBdr>
                          <w:divsChild>
                            <w:div w:id="1785420683">
                              <w:marLeft w:val="0"/>
                              <w:marRight w:val="0"/>
                              <w:marTop w:val="0"/>
                              <w:marBottom w:val="0"/>
                              <w:divBdr>
                                <w:top w:val="none" w:sz="0" w:space="0" w:color="auto"/>
                                <w:left w:val="none" w:sz="0" w:space="0" w:color="auto"/>
                                <w:bottom w:val="none" w:sz="0" w:space="0" w:color="auto"/>
                                <w:right w:val="none" w:sz="0" w:space="0" w:color="auto"/>
                              </w:divBdr>
                            </w:div>
                          </w:divsChild>
                        </w:div>
                        <w:div w:id="1785420679">
                          <w:marLeft w:val="0"/>
                          <w:marRight w:val="0"/>
                          <w:marTop w:val="0"/>
                          <w:marBottom w:val="0"/>
                          <w:divBdr>
                            <w:top w:val="none" w:sz="0" w:space="0" w:color="auto"/>
                            <w:left w:val="none" w:sz="0" w:space="0" w:color="auto"/>
                            <w:bottom w:val="none" w:sz="0" w:space="0" w:color="auto"/>
                            <w:right w:val="none" w:sz="0" w:space="0" w:color="auto"/>
                          </w:divBdr>
                          <w:divsChild>
                            <w:div w:id="1785420705">
                              <w:marLeft w:val="0"/>
                              <w:marRight w:val="0"/>
                              <w:marTop w:val="0"/>
                              <w:marBottom w:val="0"/>
                              <w:divBdr>
                                <w:top w:val="none" w:sz="0" w:space="0" w:color="auto"/>
                                <w:left w:val="none" w:sz="0" w:space="0" w:color="auto"/>
                                <w:bottom w:val="none" w:sz="0" w:space="0" w:color="auto"/>
                                <w:right w:val="none" w:sz="0" w:space="0" w:color="auto"/>
                              </w:divBdr>
                              <w:divsChild>
                                <w:div w:id="1785420670">
                                  <w:marLeft w:val="0"/>
                                  <w:marRight w:val="0"/>
                                  <w:marTop w:val="0"/>
                                  <w:marBottom w:val="0"/>
                                  <w:divBdr>
                                    <w:top w:val="none" w:sz="0" w:space="0" w:color="auto"/>
                                    <w:left w:val="none" w:sz="0" w:space="0" w:color="auto"/>
                                    <w:bottom w:val="none" w:sz="0" w:space="0" w:color="auto"/>
                                    <w:right w:val="none" w:sz="0" w:space="0" w:color="auto"/>
                                  </w:divBdr>
                                </w:div>
                                <w:div w:id="17854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0702">
                      <w:marLeft w:val="0"/>
                      <w:marRight w:val="0"/>
                      <w:marTop w:val="0"/>
                      <w:marBottom w:val="0"/>
                      <w:divBdr>
                        <w:top w:val="none" w:sz="0" w:space="0" w:color="auto"/>
                        <w:left w:val="none" w:sz="0" w:space="0" w:color="auto"/>
                        <w:bottom w:val="none" w:sz="0" w:space="0" w:color="auto"/>
                        <w:right w:val="none" w:sz="0" w:space="0" w:color="auto"/>
                      </w:divBdr>
                      <w:divsChild>
                        <w:div w:id="1785420693">
                          <w:marLeft w:val="0"/>
                          <w:marRight w:val="0"/>
                          <w:marTop w:val="0"/>
                          <w:marBottom w:val="0"/>
                          <w:divBdr>
                            <w:top w:val="none" w:sz="0" w:space="0" w:color="auto"/>
                            <w:left w:val="none" w:sz="0" w:space="0" w:color="auto"/>
                            <w:bottom w:val="none" w:sz="0" w:space="0" w:color="auto"/>
                            <w:right w:val="none" w:sz="0" w:space="0" w:color="auto"/>
                          </w:divBdr>
                        </w:div>
                        <w:div w:id="1785420703">
                          <w:marLeft w:val="0"/>
                          <w:marRight w:val="0"/>
                          <w:marTop w:val="0"/>
                          <w:marBottom w:val="0"/>
                          <w:divBdr>
                            <w:top w:val="none" w:sz="0" w:space="0" w:color="auto"/>
                            <w:left w:val="none" w:sz="0" w:space="0" w:color="auto"/>
                            <w:bottom w:val="none" w:sz="0" w:space="0" w:color="auto"/>
                            <w:right w:val="none" w:sz="0" w:space="0" w:color="auto"/>
                          </w:divBdr>
                          <w:divsChild>
                            <w:div w:id="1785420674">
                              <w:marLeft w:val="0"/>
                              <w:marRight w:val="0"/>
                              <w:marTop w:val="0"/>
                              <w:marBottom w:val="0"/>
                              <w:divBdr>
                                <w:top w:val="none" w:sz="0" w:space="0" w:color="auto"/>
                                <w:left w:val="none" w:sz="0" w:space="0" w:color="auto"/>
                                <w:bottom w:val="none" w:sz="0" w:space="0" w:color="auto"/>
                                <w:right w:val="none" w:sz="0" w:space="0" w:color="auto"/>
                              </w:divBdr>
                              <w:divsChild>
                                <w:div w:id="1785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0677">
      <w:marLeft w:val="0"/>
      <w:marRight w:val="0"/>
      <w:marTop w:val="0"/>
      <w:marBottom w:val="0"/>
      <w:divBdr>
        <w:top w:val="none" w:sz="0" w:space="0" w:color="auto"/>
        <w:left w:val="none" w:sz="0" w:space="0" w:color="auto"/>
        <w:bottom w:val="none" w:sz="0" w:space="0" w:color="auto"/>
        <w:right w:val="none" w:sz="0" w:space="0" w:color="auto"/>
      </w:divBdr>
      <w:divsChild>
        <w:div w:id="178542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56CC-1DEB-4C61-87F5-0049370D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2080</Words>
  <Characters>11857</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BARBADOS</vt:lpstr>
      <vt:lpstr>BARBADOS</vt:lpstr>
    </vt:vector>
  </TitlesOfParts>
  <Company>United Nations ECLAC Port of Spain</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dc:title>
  <dc:creator>Kelvin Sergeant</dc:creator>
  <cp:lastModifiedBy>micornejo</cp:lastModifiedBy>
  <cp:revision>7</cp:revision>
  <cp:lastPrinted>2012-08-03T13:55:00Z</cp:lastPrinted>
  <dcterms:created xsi:type="dcterms:W3CDTF">2012-08-03T16:06:00Z</dcterms:created>
  <dcterms:modified xsi:type="dcterms:W3CDTF">2012-08-16T16:55:00Z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305426599</vt:i4>
  </property>
</Properties>
</file>