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50" w:rsidRPr="005A6526" w:rsidRDefault="006B4B3B" w:rsidP="005A6526">
      <w:pPr>
        <w:jc w:val="center"/>
        <w:rPr>
          <w:b/>
          <w:szCs w:val="22"/>
        </w:rPr>
      </w:pPr>
      <w:r w:rsidRPr="005A6526">
        <w:rPr>
          <w:b/>
          <w:szCs w:val="22"/>
        </w:rPr>
        <w:t>HONDURAS</w:t>
      </w:r>
    </w:p>
    <w:p w:rsidR="00400398" w:rsidRPr="0052693A" w:rsidRDefault="00400398" w:rsidP="004A0212">
      <w:pPr>
        <w:rPr>
          <w:szCs w:val="22"/>
        </w:rPr>
      </w:pPr>
    </w:p>
    <w:p w:rsidR="00400398" w:rsidRPr="0052693A" w:rsidRDefault="00400398" w:rsidP="004A0212">
      <w:pPr>
        <w:rPr>
          <w:szCs w:val="22"/>
        </w:rPr>
      </w:pPr>
    </w:p>
    <w:p w:rsidR="007E1B50" w:rsidRPr="005A6526" w:rsidRDefault="005A6526" w:rsidP="005A6526">
      <w:pPr>
        <w:jc w:val="center"/>
        <w:rPr>
          <w:b/>
          <w:szCs w:val="22"/>
        </w:rPr>
      </w:pPr>
      <w:r w:rsidRPr="005A6526">
        <w:rPr>
          <w:b/>
          <w:szCs w:val="22"/>
        </w:rPr>
        <w:t xml:space="preserve">1. </w:t>
      </w:r>
      <w:proofErr w:type="spellStart"/>
      <w:r w:rsidR="007E1B50" w:rsidRPr="005A6526">
        <w:rPr>
          <w:b/>
          <w:szCs w:val="22"/>
        </w:rPr>
        <w:t>Rasgos</w:t>
      </w:r>
      <w:proofErr w:type="spellEnd"/>
      <w:r w:rsidR="007E1B50" w:rsidRPr="005A6526">
        <w:rPr>
          <w:b/>
          <w:szCs w:val="22"/>
        </w:rPr>
        <w:t xml:space="preserve"> </w:t>
      </w:r>
      <w:proofErr w:type="spellStart"/>
      <w:r w:rsidR="007E1B50" w:rsidRPr="005A6526">
        <w:rPr>
          <w:b/>
          <w:szCs w:val="22"/>
        </w:rPr>
        <w:t>generales</w:t>
      </w:r>
      <w:proofErr w:type="spellEnd"/>
      <w:r w:rsidR="007E1B50" w:rsidRPr="005A6526">
        <w:rPr>
          <w:b/>
          <w:szCs w:val="22"/>
        </w:rPr>
        <w:t xml:space="preserve"> de la </w:t>
      </w:r>
      <w:proofErr w:type="spellStart"/>
      <w:r w:rsidR="007E1B50" w:rsidRPr="005A6526">
        <w:rPr>
          <w:b/>
          <w:szCs w:val="22"/>
        </w:rPr>
        <w:t>evolución</w:t>
      </w:r>
      <w:proofErr w:type="spellEnd"/>
      <w:r w:rsidR="007E1B50" w:rsidRPr="005A6526">
        <w:rPr>
          <w:b/>
          <w:szCs w:val="22"/>
        </w:rPr>
        <w:t xml:space="preserve"> </w:t>
      </w:r>
      <w:proofErr w:type="spellStart"/>
      <w:r w:rsidR="007E1B50" w:rsidRPr="005A6526">
        <w:rPr>
          <w:b/>
          <w:szCs w:val="22"/>
        </w:rPr>
        <w:t>reciente</w:t>
      </w:r>
      <w:proofErr w:type="spellEnd"/>
    </w:p>
    <w:p w:rsidR="005A6526" w:rsidRPr="0052693A" w:rsidRDefault="005A6526" w:rsidP="005A6526">
      <w:pPr>
        <w:jc w:val="center"/>
        <w:rPr>
          <w:szCs w:val="22"/>
        </w:rPr>
      </w:pPr>
    </w:p>
    <w:p w:rsidR="007E1B50" w:rsidRPr="0052693A" w:rsidRDefault="006B4B3B" w:rsidP="004A0212">
      <w:pPr>
        <w:rPr>
          <w:szCs w:val="22"/>
        </w:rPr>
      </w:pPr>
      <w:r w:rsidRPr="0052693A">
        <w:rPr>
          <w:szCs w:val="22"/>
        </w:rPr>
        <w:t>En 2011, la economía hondureña creció un 3</w:t>
      </w:r>
      <w:proofErr w:type="gramStart"/>
      <w:r w:rsidRPr="0052693A">
        <w:rPr>
          <w:szCs w:val="22"/>
        </w:rPr>
        <w:t>,6</w:t>
      </w:r>
      <w:proofErr w:type="gramEnd"/>
      <w:r w:rsidRPr="0052693A">
        <w:rPr>
          <w:szCs w:val="22"/>
        </w:rPr>
        <w:t xml:space="preserve">% (frente al 2,8% de 2010), impulsada por la demanda externa. La inflación alcanzó un 5,6%, con lo que se situó por debajo del 6,5% </w:t>
      </w:r>
      <w:r w:rsidR="007E1B50" w:rsidRPr="0052693A">
        <w:rPr>
          <w:szCs w:val="22"/>
        </w:rPr>
        <w:t>de</w:t>
      </w:r>
      <w:r w:rsidRPr="0052693A">
        <w:rPr>
          <w:szCs w:val="22"/>
        </w:rPr>
        <w:t xml:space="preserve"> 2010 y fue incluso inferior a la meta inicial del </w:t>
      </w:r>
      <w:r w:rsidR="007E1B50" w:rsidRPr="0052693A">
        <w:rPr>
          <w:szCs w:val="22"/>
        </w:rPr>
        <w:t>b</w:t>
      </w:r>
      <w:r w:rsidRPr="0052693A">
        <w:rPr>
          <w:szCs w:val="22"/>
        </w:rPr>
        <w:t xml:space="preserve">anco </w:t>
      </w:r>
      <w:r w:rsidR="007E1B50" w:rsidRPr="0052693A">
        <w:rPr>
          <w:szCs w:val="22"/>
        </w:rPr>
        <w:t>c</w:t>
      </w:r>
      <w:r w:rsidRPr="0052693A">
        <w:rPr>
          <w:szCs w:val="22"/>
        </w:rPr>
        <w:t xml:space="preserve">entral. El déficit fiscal del </w:t>
      </w:r>
      <w:r w:rsidR="007E1B50" w:rsidRPr="0052693A">
        <w:rPr>
          <w:szCs w:val="22"/>
        </w:rPr>
        <w:t>g</w:t>
      </w:r>
      <w:r w:rsidRPr="0052693A">
        <w:rPr>
          <w:szCs w:val="22"/>
        </w:rPr>
        <w:t xml:space="preserve">obierno </w:t>
      </w:r>
      <w:r w:rsidR="007E1B50" w:rsidRPr="0052693A">
        <w:rPr>
          <w:szCs w:val="22"/>
        </w:rPr>
        <w:t>c</w:t>
      </w:r>
      <w:r w:rsidRPr="0052693A">
        <w:rPr>
          <w:szCs w:val="22"/>
        </w:rPr>
        <w:t>entral, por el contrario, solo se redujo ligeramente del 4</w:t>
      </w:r>
      <w:proofErr w:type="gramStart"/>
      <w:r w:rsidRPr="0052693A">
        <w:rPr>
          <w:szCs w:val="22"/>
        </w:rPr>
        <w:t>,8</w:t>
      </w:r>
      <w:proofErr w:type="gramEnd"/>
      <w:r w:rsidRPr="0052693A">
        <w:rPr>
          <w:szCs w:val="22"/>
        </w:rPr>
        <w:t>% al 4,6% del PIB. El déficit de la cuenta corriente de la balanza de pagos pasó del 6</w:t>
      </w:r>
      <w:proofErr w:type="gramStart"/>
      <w:r w:rsidRPr="0052693A">
        <w:rPr>
          <w:szCs w:val="22"/>
        </w:rPr>
        <w:t>,2</w:t>
      </w:r>
      <w:proofErr w:type="gramEnd"/>
      <w:r w:rsidRPr="0052693A">
        <w:rPr>
          <w:szCs w:val="22"/>
        </w:rPr>
        <w:t>% del PIB al 8,6% del PIB, entre otras causas</w:t>
      </w:r>
      <w:r w:rsidR="007E1B50" w:rsidRPr="0052693A">
        <w:rPr>
          <w:szCs w:val="22"/>
        </w:rPr>
        <w:t>,</w:t>
      </w:r>
      <w:r w:rsidRPr="0052693A">
        <w:rPr>
          <w:szCs w:val="22"/>
        </w:rPr>
        <w:t xml:space="preserve"> debido al aumento del precio de los combustibles. En </w:t>
      </w:r>
      <w:proofErr w:type="gramStart"/>
      <w:r w:rsidRPr="0052693A">
        <w:rPr>
          <w:szCs w:val="22"/>
        </w:rPr>
        <w:t>julio</w:t>
      </w:r>
      <w:proofErr w:type="gramEnd"/>
      <w:r w:rsidRPr="0052693A">
        <w:rPr>
          <w:szCs w:val="22"/>
        </w:rPr>
        <w:t xml:space="preserve"> de 2011, el </w:t>
      </w:r>
      <w:r w:rsidR="007E1B50" w:rsidRPr="0052693A">
        <w:rPr>
          <w:szCs w:val="22"/>
        </w:rPr>
        <w:t>b</w:t>
      </w:r>
      <w:r w:rsidRPr="0052693A">
        <w:rPr>
          <w:szCs w:val="22"/>
        </w:rPr>
        <w:t xml:space="preserve">anco </w:t>
      </w:r>
      <w:r w:rsidR="007E1B50" w:rsidRPr="0052693A">
        <w:rPr>
          <w:szCs w:val="22"/>
        </w:rPr>
        <w:t>c</w:t>
      </w:r>
      <w:r w:rsidRPr="0052693A">
        <w:rPr>
          <w:szCs w:val="22"/>
        </w:rPr>
        <w:t>entral reactivó la banda cambiaria y posteriormente elevó 100 puntos porcentuales la tasa de política monetaria con el propósito de proteger la posición externa. Esto hizo que al cierre de 2011 las reservas internacionales netas aumenta</w:t>
      </w:r>
      <w:r w:rsidR="00400398" w:rsidRPr="0052693A">
        <w:rPr>
          <w:szCs w:val="22"/>
        </w:rPr>
        <w:t>ran 101</w:t>
      </w:r>
      <w:proofErr w:type="gramStart"/>
      <w:r w:rsidR="00400398" w:rsidRPr="0052693A">
        <w:rPr>
          <w:szCs w:val="22"/>
        </w:rPr>
        <w:t>,4</w:t>
      </w:r>
      <w:proofErr w:type="gramEnd"/>
      <w:r w:rsidR="00400398" w:rsidRPr="0052693A">
        <w:rPr>
          <w:szCs w:val="22"/>
        </w:rPr>
        <w:t xml:space="preserve"> millones de dólares.</w:t>
      </w:r>
    </w:p>
    <w:p w:rsidR="00400398" w:rsidRPr="0052693A" w:rsidRDefault="00400398" w:rsidP="004A0212">
      <w:pPr>
        <w:rPr>
          <w:szCs w:val="22"/>
        </w:rPr>
      </w:pPr>
    </w:p>
    <w:p w:rsidR="007E1B50" w:rsidRDefault="005A6526" w:rsidP="004A0212">
      <w:pPr>
        <w:rPr>
          <w:szCs w:val="22"/>
        </w:rPr>
      </w:pPr>
      <w:r>
        <w:rPr>
          <w:szCs w:val="22"/>
        </w:rPr>
        <w:tab/>
      </w:r>
      <w:proofErr w:type="spellStart"/>
      <w:r w:rsidR="006B4B3B" w:rsidRPr="0052693A">
        <w:rPr>
          <w:szCs w:val="22"/>
        </w:rPr>
        <w:t>Pese</w:t>
      </w:r>
      <w:proofErr w:type="spellEnd"/>
      <w:r w:rsidR="006B4B3B" w:rsidRPr="0052693A">
        <w:rPr>
          <w:szCs w:val="22"/>
        </w:rPr>
        <w:t xml:space="preserve"> al </w:t>
      </w:r>
      <w:proofErr w:type="spellStart"/>
      <w:r w:rsidR="006B4B3B" w:rsidRPr="0052693A">
        <w:rPr>
          <w:szCs w:val="22"/>
        </w:rPr>
        <w:t>aumento</w:t>
      </w:r>
      <w:proofErr w:type="spellEnd"/>
      <w:r w:rsidR="006B4B3B" w:rsidRPr="0052693A">
        <w:rPr>
          <w:szCs w:val="22"/>
        </w:rPr>
        <w:t xml:space="preserve"> en los ingresos tributarios y a las medidas adoptadas en el ámbito de la política monetaria, la ausencia de una reducción importante en el déficit fiscal dificultó la continuidad </w:t>
      </w:r>
      <w:proofErr w:type="gramStart"/>
      <w:r w:rsidR="006B4B3B" w:rsidRPr="0052693A">
        <w:rPr>
          <w:szCs w:val="22"/>
        </w:rPr>
        <w:t>del</w:t>
      </w:r>
      <w:proofErr w:type="gramEnd"/>
      <w:r w:rsidR="006B4B3B" w:rsidRPr="0052693A">
        <w:rPr>
          <w:szCs w:val="22"/>
        </w:rPr>
        <w:t xml:space="preserve"> acuerdo con el Fondo Monetario Internacional (FMI). </w:t>
      </w:r>
      <w:proofErr w:type="gramStart"/>
      <w:r w:rsidR="006B4B3B" w:rsidRPr="0052693A">
        <w:rPr>
          <w:szCs w:val="22"/>
        </w:rPr>
        <w:t>Dichas negociaciones podrían reiniciarse en junio de 2012.</w:t>
      </w:r>
      <w:proofErr w:type="gramEnd"/>
      <w:r w:rsidR="006B4B3B" w:rsidRPr="0052693A">
        <w:rPr>
          <w:szCs w:val="22"/>
        </w:rPr>
        <w:t xml:space="preserve"> Como elemento fundamental de su programa monetario, el </w:t>
      </w:r>
      <w:r w:rsidR="007E1B50" w:rsidRPr="0052693A">
        <w:rPr>
          <w:szCs w:val="22"/>
        </w:rPr>
        <w:t>b</w:t>
      </w:r>
      <w:r w:rsidR="006B4B3B" w:rsidRPr="0052693A">
        <w:rPr>
          <w:szCs w:val="22"/>
        </w:rPr>
        <w:t xml:space="preserve">anco </w:t>
      </w:r>
      <w:r w:rsidR="007E1B50" w:rsidRPr="0052693A">
        <w:rPr>
          <w:szCs w:val="22"/>
        </w:rPr>
        <w:t>c</w:t>
      </w:r>
      <w:r w:rsidR="006B4B3B" w:rsidRPr="0052693A">
        <w:rPr>
          <w:szCs w:val="22"/>
        </w:rPr>
        <w:t xml:space="preserve">entral fijó </w:t>
      </w:r>
      <w:r w:rsidR="007E1B50" w:rsidRPr="0052693A">
        <w:rPr>
          <w:szCs w:val="22"/>
        </w:rPr>
        <w:t xml:space="preserve">para 2012 </w:t>
      </w:r>
      <w:r w:rsidR="006B4B3B" w:rsidRPr="0052693A">
        <w:rPr>
          <w:szCs w:val="22"/>
        </w:rPr>
        <w:t xml:space="preserve">un </w:t>
      </w:r>
      <w:bookmarkStart w:id="0" w:name="OLE_LINK1"/>
      <w:bookmarkStart w:id="1" w:name="OLE_LINK2"/>
      <w:r w:rsidR="006B4B3B" w:rsidRPr="0052693A">
        <w:rPr>
          <w:szCs w:val="22"/>
        </w:rPr>
        <w:t xml:space="preserve">objetivo de inflación </w:t>
      </w:r>
      <w:bookmarkEnd w:id="0"/>
      <w:bookmarkEnd w:id="1"/>
      <w:r w:rsidR="006B4B3B" w:rsidRPr="0052693A">
        <w:rPr>
          <w:szCs w:val="22"/>
        </w:rPr>
        <w:t>de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6</w:t>
      </w:r>
      <w:proofErr w:type="gramStart"/>
      <w:r w:rsidR="006B4B3B" w:rsidRPr="0052693A">
        <w:rPr>
          <w:szCs w:val="22"/>
        </w:rPr>
        <w:t>,5</w:t>
      </w:r>
      <w:proofErr w:type="gramEnd"/>
      <w:r w:rsidR="006B4B3B" w:rsidRPr="0052693A">
        <w:rPr>
          <w:szCs w:val="22"/>
        </w:rPr>
        <w:t xml:space="preserve">% </w:t>
      </w:r>
      <w:r w:rsidR="007E1B50" w:rsidRPr="0052693A">
        <w:rPr>
          <w:szCs w:val="22"/>
        </w:rPr>
        <w:t>(</w:t>
      </w:r>
      <w:r w:rsidR="006B4B3B" w:rsidRPr="0052693A">
        <w:rPr>
          <w:szCs w:val="22"/>
        </w:rPr>
        <w:t>+</w:t>
      </w:r>
      <w:r w:rsidR="007E1B50" w:rsidRPr="0052693A">
        <w:rPr>
          <w:szCs w:val="22"/>
        </w:rPr>
        <w:t>/</w:t>
      </w:r>
      <w:r w:rsidR="006B4B3B" w:rsidRPr="0052693A">
        <w:rPr>
          <w:szCs w:val="22"/>
        </w:rPr>
        <w:t>- 1 punto porcentual). La CEPAL, por su parte, estima que el crecimiento económico podría situarse en un 3</w:t>
      </w:r>
      <w:proofErr w:type="gramStart"/>
      <w:r w:rsidR="006B4B3B" w:rsidRPr="0052693A">
        <w:rPr>
          <w:szCs w:val="22"/>
        </w:rPr>
        <w:t>,2</w:t>
      </w:r>
      <w:proofErr w:type="gramEnd"/>
      <w:r w:rsidR="006B4B3B" w:rsidRPr="0052693A">
        <w:rPr>
          <w:szCs w:val="22"/>
        </w:rPr>
        <w:t xml:space="preserve">%. </w:t>
      </w:r>
    </w:p>
    <w:p w:rsidR="005A6526" w:rsidRDefault="005A6526" w:rsidP="004A0212">
      <w:pPr>
        <w:rPr>
          <w:szCs w:val="22"/>
        </w:rPr>
      </w:pPr>
    </w:p>
    <w:p w:rsidR="005A6526" w:rsidRPr="0052693A" w:rsidRDefault="005A6526" w:rsidP="004A0212">
      <w:pPr>
        <w:rPr>
          <w:szCs w:val="22"/>
        </w:rPr>
      </w:pPr>
    </w:p>
    <w:p w:rsidR="007E1B50" w:rsidRDefault="005A6526" w:rsidP="005A6526">
      <w:pPr>
        <w:jc w:val="center"/>
        <w:rPr>
          <w:b/>
          <w:szCs w:val="22"/>
        </w:rPr>
      </w:pPr>
      <w:r w:rsidRPr="005A6526">
        <w:rPr>
          <w:b/>
          <w:szCs w:val="22"/>
        </w:rPr>
        <w:t xml:space="preserve">2. </w:t>
      </w:r>
      <w:r w:rsidR="007E1B50" w:rsidRPr="005A6526">
        <w:rPr>
          <w:b/>
          <w:szCs w:val="22"/>
        </w:rPr>
        <w:t xml:space="preserve">La </w:t>
      </w:r>
      <w:proofErr w:type="spellStart"/>
      <w:r w:rsidR="007E1B50" w:rsidRPr="005A6526">
        <w:rPr>
          <w:b/>
          <w:szCs w:val="22"/>
        </w:rPr>
        <w:t>política</w:t>
      </w:r>
      <w:proofErr w:type="spellEnd"/>
      <w:r w:rsidR="007E1B50" w:rsidRPr="005A6526">
        <w:rPr>
          <w:b/>
          <w:szCs w:val="22"/>
        </w:rPr>
        <w:t xml:space="preserve"> </w:t>
      </w:r>
      <w:proofErr w:type="spellStart"/>
      <w:r w:rsidR="007E1B50" w:rsidRPr="005A6526">
        <w:rPr>
          <w:b/>
          <w:szCs w:val="22"/>
        </w:rPr>
        <w:t>económica</w:t>
      </w:r>
      <w:proofErr w:type="spellEnd"/>
    </w:p>
    <w:p w:rsidR="005A6526" w:rsidRPr="005A6526" w:rsidRDefault="005A6526" w:rsidP="005A6526">
      <w:pPr>
        <w:jc w:val="center"/>
        <w:rPr>
          <w:b/>
          <w:szCs w:val="22"/>
        </w:rPr>
      </w:pPr>
    </w:p>
    <w:p w:rsidR="007E1B50" w:rsidRDefault="005A6526" w:rsidP="004A0212">
      <w:pPr>
        <w:rPr>
          <w:b/>
          <w:szCs w:val="22"/>
        </w:rPr>
      </w:pPr>
      <w:r w:rsidRPr="005A6526">
        <w:rPr>
          <w:b/>
          <w:szCs w:val="22"/>
        </w:rPr>
        <w:t>a)</w:t>
      </w:r>
      <w:r w:rsidRPr="005A6526">
        <w:rPr>
          <w:b/>
          <w:szCs w:val="22"/>
        </w:rPr>
        <w:tab/>
      </w:r>
      <w:proofErr w:type="spellStart"/>
      <w:r w:rsidR="006B4B3B" w:rsidRPr="005A6526">
        <w:rPr>
          <w:b/>
          <w:szCs w:val="22"/>
        </w:rPr>
        <w:t>Política</w:t>
      </w:r>
      <w:proofErr w:type="spellEnd"/>
      <w:r w:rsidR="006B4B3B" w:rsidRPr="005A6526">
        <w:rPr>
          <w:b/>
          <w:szCs w:val="22"/>
        </w:rPr>
        <w:t xml:space="preserve"> fiscal </w:t>
      </w:r>
    </w:p>
    <w:p w:rsidR="005A6526" w:rsidRPr="005A6526" w:rsidRDefault="005A6526" w:rsidP="004A0212">
      <w:pPr>
        <w:rPr>
          <w:b/>
          <w:szCs w:val="22"/>
        </w:rPr>
      </w:pPr>
    </w:p>
    <w:p w:rsidR="007E1B50" w:rsidRDefault="005A6526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Al </w:t>
      </w:r>
      <w:proofErr w:type="spellStart"/>
      <w:r w:rsidR="006B4B3B" w:rsidRPr="0052693A">
        <w:rPr>
          <w:szCs w:val="22"/>
        </w:rPr>
        <w:t>cierre</w:t>
      </w:r>
      <w:proofErr w:type="spellEnd"/>
      <w:r w:rsidR="006B4B3B" w:rsidRPr="0052693A">
        <w:rPr>
          <w:szCs w:val="22"/>
        </w:rPr>
        <w:t xml:space="preserve"> del </w:t>
      </w:r>
      <w:proofErr w:type="spellStart"/>
      <w:r w:rsidR="006B4B3B" w:rsidRPr="0052693A">
        <w:rPr>
          <w:szCs w:val="22"/>
        </w:rPr>
        <w:t>ejercicio</w:t>
      </w:r>
      <w:proofErr w:type="spellEnd"/>
      <w:r w:rsidR="006B4B3B" w:rsidRPr="0052693A">
        <w:rPr>
          <w:szCs w:val="22"/>
        </w:rPr>
        <w:t xml:space="preserve"> 2011, el </w:t>
      </w:r>
      <w:r w:rsidR="007E1B50" w:rsidRPr="0052693A">
        <w:rPr>
          <w:szCs w:val="22"/>
        </w:rPr>
        <w:t>g</w:t>
      </w:r>
      <w:r w:rsidR="006B4B3B" w:rsidRPr="0052693A">
        <w:rPr>
          <w:szCs w:val="22"/>
        </w:rPr>
        <w:t xml:space="preserve">obierno </w:t>
      </w:r>
      <w:r w:rsidR="007E1B50" w:rsidRPr="0052693A">
        <w:rPr>
          <w:szCs w:val="22"/>
        </w:rPr>
        <w:t>c</w:t>
      </w:r>
      <w:r w:rsidR="006B4B3B" w:rsidRPr="0052693A">
        <w:rPr>
          <w:szCs w:val="22"/>
        </w:rPr>
        <w:t>entral registró un déficit de 15</w:t>
      </w:r>
      <w:r w:rsidR="007E1B50" w:rsidRPr="0052693A">
        <w:rPr>
          <w:szCs w:val="22"/>
        </w:rPr>
        <w:t>.</w:t>
      </w:r>
      <w:r w:rsidR="006B4B3B" w:rsidRPr="0052693A">
        <w:rPr>
          <w:szCs w:val="22"/>
        </w:rPr>
        <w:t>297,8 millones</w:t>
      </w:r>
      <w:r w:rsidR="007E1B50" w:rsidRPr="0052693A">
        <w:rPr>
          <w:szCs w:val="22"/>
        </w:rPr>
        <w:t xml:space="preserve"> de lempiras</w:t>
      </w:r>
      <w:r w:rsidR="006B4B3B" w:rsidRPr="0052693A">
        <w:rPr>
          <w:szCs w:val="22"/>
        </w:rPr>
        <w:t>, equivalente al 4</w:t>
      </w:r>
      <w:proofErr w:type="gramStart"/>
      <w:r w:rsidR="006B4B3B" w:rsidRPr="0052693A">
        <w:rPr>
          <w:szCs w:val="22"/>
        </w:rPr>
        <w:t>,6</w:t>
      </w:r>
      <w:proofErr w:type="gramEnd"/>
      <w:r w:rsidR="006B4B3B" w:rsidRPr="0052693A">
        <w:rPr>
          <w:szCs w:val="22"/>
        </w:rPr>
        <w:t xml:space="preserve">% del PIB (frente al 4,8% en 2010). Si bien hubo una mejora en los ingresos totales (12,7%) como resultado de la recuperación de la actividad económica y la mejora en la eficiencia de la administración tributaria, ello se vio contrarrestado por un aumento del 12,1% en el gasto, que no permitió una reducción importante del </w:t>
      </w:r>
      <w:proofErr w:type="spellStart"/>
      <w:r w:rsidR="006B4B3B" w:rsidRPr="0052693A">
        <w:rPr>
          <w:szCs w:val="22"/>
        </w:rPr>
        <w:t>déficit</w:t>
      </w:r>
      <w:proofErr w:type="spellEnd"/>
      <w:r w:rsidR="006B4B3B" w:rsidRPr="0052693A">
        <w:rPr>
          <w:szCs w:val="22"/>
        </w:rPr>
        <w:t xml:space="preserve"> en </w:t>
      </w:r>
      <w:proofErr w:type="spellStart"/>
      <w:r w:rsidR="006B4B3B" w:rsidRPr="0052693A">
        <w:rPr>
          <w:szCs w:val="22"/>
        </w:rPr>
        <w:t>términos</w:t>
      </w:r>
      <w:proofErr w:type="spellEnd"/>
      <w:r w:rsidR="006B4B3B" w:rsidRPr="0052693A">
        <w:rPr>
          <w:szCs w:val="22"/>
        </w:rPr>
        <w:t xml:space="preserve"> del PIB.</w:t>
      </w:r>
      <w:r w:rsidR="0052693A">
        <w:rPr>
          <w:szCs w:val="22"/>
        </w:rPr>
        <w:t xml:space="preserve"> </w:t>
      </w:r>
    </w:p>
    <w:p w:rsidR="005A6526" w:rsidRPr="0052693A" w:rsidRDefault="005A6526" w:rsidP="004A0212">
      <w:pPr>
        <w:rPr>
          <w:szCs w:val="22"/>
        </w:rPr>
      </w:pPr>
    </w:p>
    <w:p w:rsidR="007E1B50" w:rsidRDefault="005A6526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Entre los </w:t>
      </w:r>
      <w:proofErr w:type="spellStart"/>
      <w:r w:rsidR="006B4B3B" w:rsidRPr="0052693A">
        <w:rPr>
          <w:szCs w:val="22"/>
        </w:rPr>
        <w:t>avances</w:t>
      </w:r>
      <w:proofErr w:type="spellEnd"/>
      <w:r w:rsidR="006B4B3B" w:rsidRPr="0052693A">
        <w:rPr>
          <w:szCs w:val="22"/>
        </w:rPr>
        <w:t xml:space="preserve"> </w:t>
      </w:r>
      <w:proofErr w:type="spellStart"/>
      <w:r w:rsidR="007E1B50" w:rsidRPr="0052693A">
        <w:rPr>
          <w:szCs w:val="22"/>
        </w:rPr>
        <w:t>más</w:t>
      </w:r>
      <w:proofErr w:type="spellEnd"/>
      <w:r w:rsidR="007E1B50" w:rsidRPr="0052693A">
        <w:rPr>
          <w:szCs w:val="22"/>
        </w:rPr>
        <w:t xml:space="preserve"> </w:t>
      </w:r>
      <w:proofErr w:type="spellStart"/>
      <w:r w:rsidR="006B4B3B" w:rsidRPr="0052693A">
        <w:rPr>
          <w:szCs w:val="22"/>
        </w:rPr>
        <w:t>importantes</w:t>
      </w:r>
      <w:proofErr w:type="spellEnd"/>
      <w:r w:rsidR="006B4B3B" w:rsidRPr="0052693A">
        <w:rPr>
          <w:szCs w:val="22"/>
        </w:rPr>
        <w:t xml:space="preserve"> </w:t>
      </w:r>
      <w:proofErr w:type="spellStart"/>
      <w:r w:rsidR="006B4B3B" w:rsidRPr="0052693A">
        <w:rPr>
          <w:szCs w:val="22"/>
        </w:rPr>
        <w:t>para</w:t>
      </w:r>
      <w:proofErr w:type="spellEnd"/>
      <w:r w:rsidR="006B4B3B" w:rsidRPr="0052693A">
        <w:rPr>
          <w:szCs w:val="22"/>
        </w:rPr>
        <w:t xml:space="preserve"> </w:t>
      </w:r>
      <w:r w:rsidR="007E1B50" w:rsidRPr="0052693A">
        <w:rPr>
          <w:szCs w:val="22"/>
        </w:rPr>
        <w:t xml:space="preserve">aumentar </w:t>
      </w:r>
      <w:r w:rsidR="006B4B3B" w:rsidRPr="0052693A">
        <w:rPr>
          <w:szCs w:val="22"/>
        </w:rPr>
        <w:t xml:space="preserve">la recaudación </w:t>
      </w:r>
      <w:r w:rsidR="007E1B50" w:rsidRPr="0052693A">
        <w:rPr>
          <w:szCs w:val="22"/>
        </w:rPr>
        <w:t>se encuentran e</w:t>
      </w:r>
      <w:r w:rsidR="006B4B3B" w:rsidRPr="0052693A">
        <w:rPr>
          <w:szCs w:val="22"/>
        </w:rPr>
        <w:t xml:space="preserve">l refuerzo de la unidad de contribuyentes especiales para focalizar los recursos y hacer más eficiente el cobro a los mayores contribuyentes, la aplicación de la nueva 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ey de </w:t>
      </w:r>
      <w:r w:rsidR="007E1B50" w:rsidRPr="0052693A">
        <w:rPr>
          <w:szCs w:val="22"/>
        </w:rPr>
        <w:t>f</w:t>
      </w:r>
      <w:r w:rsidR="006B4B3B" w:rsidRPr="0052693A">
        <w:rPr>
          <w:szCs w:val="22"/>
        </w:rPr>
        <w:t xml:space="preserve">ortalecimiento de los </w:t>
      </w:r>
      <w:r w:rsidR="007E1B50" w:rsidRPr="0052693A">
        <w:rPr>
          <w:szCs w:val="22"/>
        </w:rPr>
        <w:t>i</w:t>
      </w:r>
      <w:r w:rsidR="006B4B3B" w:rsidRPr="0052693A">
        <w:rPr>
          <w:szCs w:val="22"/>
        </w:rPr>
        <w:t xml:space="preserve">ngresos, equidad </w:t>
      </w:r>
      <w:r w:rsidR="007E1B50" w:rsidRPr="0052693A">
        <w:rPr>
          <w:szCs w:val="22"/>
        </w:rPr>
        <w:t>s</w:t>
      </w:r>
      <w:r w:rsidR="006B4B3B" w:rsidRPr="0052693A">
        <w:rPr>
          <w:szCs w:val="22"/>
        </w:rPr>
        <w:t xml:space="preserve">ocial y </w:t>
      </w:r>
      <w:r w:rsidR="007E1B50" w:rsidRPr="0052693A">
        <w:rPr>
          <w:szCs w:val="22"/>
        </w:rPr>
        <w:t>r</w:t>
      </w:r>
      <w:r w:rsidR="006B4B3B" w:rsidRPr="0052693A">
        <w:rPr>
          <w:szCs w:val="22"/>
        </w:rPr>
        <w:t xml:space="preserve">acionalización del </w:t>
      </w:r>
      <w:r w:rsidR="007E1B50" w:rsidRPr="0052693A">
        <w:rPr>
          <w:szCs w:val="22"/>
        </w:rPr>
        <w:t>g</w:t>
      </w:r>
      <w:r w:rsidR="006B4B3B" w:rsidRPr="0052693A">
        <w:rPr>
          <w:szCs w:val="22"/>
        </w:rPr>
        <w:t xml:space="preserve">asto </w:t>
      </w:r>
      <w:r w:rsidR="007E1B50" w:rsidRPr="0052693A">
        <w:rPr>
          <w:szCs w:val="22"/>
        </w:rPr>
        <w:t>p</w:t>
      </w:r>
      <w:r w:rsidR="006B4B3B" w:rsidRPr="0052693A">
        <w:rPr>
          <w:szCs w:val="22"/>
        </w:rPr>
        <w:t>úblico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y la </w:t>
      </w:r>
      <w:r w:rsidR="007E1B50" w:rsidRPr="0052693A">
        <w:rPr>
          <w:szCs w:val="22"/>
        </w:rPr>
        <w:t xml:space="preserve">entrada en vigor </w:t>
      </w:r>
      <w:r w:rsidR="006B4B3B" w:rsidRPr="0052693A">
        <w:rPr>
          <w:szCs w:val="22"/>
        </w:rPr>
        <w:t xml:space="preserve">de la </w:t>
      </w:r>
      <w:r w:rsidR="007E1B50" w:rsidRPr="0052693A">
        <w:rPr>
          <w:szCs w:val="22"/>
        </w:rPr>
        <w:t>n</w:t>
      </w:r>
      <w:r w:rsidR="006B4B3B" w:rsidRPr="0052693A">
        <w:rPr>
          <w:szCs w:val="22"/>
        </w:rPr>
        <w:t xml:space="preserve">ueva 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ey de seguridad poblacional a partir del 1 de octubre de 2011. Esta última incluye </w:t>
      </w:r>
      <w:proofErr w:type="gramStart"/>
      <w:r w:rsidR="006B4B3B" w:rsidRPr="0052693A">
        <w:rPr>
          <w:szCs w:val="22"/>
        </w:rPr>
        <w:t>un</w:t>
      </w:r>
      <w:proofErr w:type="gramEnd"/>
      <w:r w:rsidR="006B4B3B" w:rsidRPr="0052693A">
        <w:rPr>
          <w:szCs w:val="22"/>
        </w:rPr>
        <w:t xml:space="preserve"> impuesto a los d</w:t>
      </w:r>
      <w:r w:rsidR="007E1B50" w:rsidRPr="0052693A">
        <w:rPr>
          <w:szCs w:val="22"/>
        </w:rPr>
        <w:t>é</w:t>
      </w:r>
      <w:r w:rsidR="006B4B3B" w:rsidRPr="0052693A">
        <w:rPr>
          <w:szCs w:val="22"/>
        </w:rPr>
        <w:t xml:space="preserve">bitos en </w:t>
      </w:r>
      <w:r w:rsidR="007E1B50" w:rsidRPr="0052693A">
        <w:rPr>
          <w:szCs w:val="22"/>
        </w:rPr>
        <w:t xml:space="preserve">las </w:t>
      </w:r>
      <w:r w:rsidR="006B4B3B" w:rsidRPr="0052693A">
        <w:rPr>
          <w:szCs w:val="22"/>
        </w:rPr>
        <w:t>cuenta</w:t>
      </w:r>
      <w:r w:rsidR="007E1B50" w:rsidRPr="0052693A">
        <w:rPr>
          <w:szCs w:val="22"/>
        </w:rPr>
        <w:t>s</w:t>
      </w:r>
      <w:r w:rsidR="006B4B3B" w:rsidRPr="0052693A">
        <w:rPr>
          <w:szCs w:val="22"/>
        </w:rPr>
        <w:t xml:space="preserve"> bancaria</w:t>
      </w:r>
      <w:r w:rsidR="007E1B50" w:rsidRPr="0052693A">
        <w:rPr>
          <w:szCs w:val="22"/>
        </w:rPr>
        <w:t>s</w:t>
      </w:r>
      <w:r w:rsidR="006B4B3B" w:rsidRPr="0052693A">
        <w:rPr>
          <w:szCs w:val="22"/>
        </w:rPr>
        <w:t xml:space="preserve"> de personas jurídicas con saldos superiores a los 140</w:t>
      </w:r>
      <w:r w:rsidR="007E1B50" w:rsidRPr="0052693A">
        <w:rPr>
          <w:szCs w:val="22"/>
        </w:rPr>
        <w:t>.000</w:t>
      </w:r>
      <w:r w:rsidR="006B4B3B" w:rsidRPr="0052693A">
        <w:rPr>
          <w:szCs w:val="22"/>
        </w:rPr>
        <w:t xml:space="preserve"> lempiras y a las tarjetas de crédito con límites superiores a los 40</w:t>
      </w:r>
      <w:r w:rsidR="007E1B50" w:rsidRPr="0052693A">
        <w:rPr>
          <w:szCs w:val="22"/>
        </w:rPr>
        <w:t>.000</w:t>
      </w:r>
      <w:r w:rsidR="006B4B3B" w:rsidRPr="0052693A">
        <w:rPr>
          <w:szCs w:val="22"/>
        </w:rPr>
        <w:t xml:space="preserve"> lempiras. </w:t>
      </w:r>
      <w:proofErr w:type="gramStart"/>
      <w:r w:rsidR="006B4B3B" w:rsidRPr="0052693A">
        <w:rPr>
          <w:szCs w:val="22"/>
        </w:rPr>
        <w:t xml:space="preserve">Las </w:t>
      </w:r>
      <w:r w:rsidR="007E1B50" w:rsidRPr="0052693A">
        <w:rPr>
          <w:szCs w:val="22"/>
        </w:rPr>
        <w:t>a</w:t>
      </w:r>
      <w:r w:rsidR="006B4B3B" w:rsidRPr="0052693A">
        <w:rPr>
          <w:szCs w:val="22"/>
        </w:rPr>
        <w:t>utoridades esperan que se generen recursos adicionales por alrededor de 2</w:t>
      </w:r>
      <w:r w:rsidR="007E1B50" w:rsidRPr="0052693A">
        <w:rPr>
          <w:szCs w:val="22"/>
        </w:rPr>
        <w:t>.</w:t>
      </w:r>
      <w:r w:rsidR="006B4B3B" w:rsidRPr="0052693A">
        <w:rPr>
          <w:szCs w:val="22"/>
        </w:rPr>
        <w:t xml:space="preserve">200 millones </w:t>
      </w:r>
      <w:r w:rsidR="007E1B50" w:rsidRPr="0052693A">
        <w:rPr>
          <w:szCs w:val="22"/>
        </w:rPr>
        <w:t xml:space="preserve">de lempiras </w:t>
      </w:r>
      <w:r w:rsidR="006B4B3B" w:rsidRPr="0052693A">
        <w:rPr>
          <w:szCs w:val="22"/>
        </w:rPr>
        <w:t>en términos anualizados.</w:t>
      </w:r>
      <w:proofErr w:type="gramEnd"/>
      <w:r w:rsidR="006B4B3B" w:rsidRPr="0052693A">
        <w:rPr>
          <w:szCs w:val="22"/>
        </w:rPr>
        <w:t xml:space="preserve"> </w:t>
      </w:r>
    </w:p>
    <w:p w:rsidR="004F7A11" w:rsidRPr="0052693A" w:rsidRDefault="004F7A11" w:rsidP="004A0212">
      <w:pPr>
        <w:rPr>
          <w:szCs w:val="22"/>
        </w:rPr>
      </w:pPr>
    </w:p>
    <w:p w:rsidR="007E1B50" w:rsidRDefault="004F7A11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>Para 2011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el </w:t>
      </w:r>
      <w:proofErr w:type="spellStart"/>
      <w:r w:rsidR="006B4B3B" w:rsidRPr="0052693A">
        <w:rPr>
          <w:szCs w:val="22"/>
        </w:rPr>
        <w:t>aumento</w:t>
      </w:r>
      <w:proofErr w:type="spellEnd"/>
      <w:r w:rsidR="006B4B3B" w:rsidRPr="0052693A">
        <w:rPr>
          <w:szCs w:val="22"/>
        </w:rPr>
        <w:t xml:space="preserve"> de la </w:t>
      </w:r>
      <w:proofErr w:type="spellStart"/>
      <w:r w:rsidR="006B4B3B" w:rsidRPr="0052693A">
        <w:rPr>
          <w:szCs w:val="22"/>
        </w:rPr>
        <w:t>recaudación</w:t>
      </w:r>
      <w:proofErr w:type="spellEnd"/>
      <w:r w:rsidR="006B4B3B" w:rsidRPr="0052693A">
        <w:rPr>
          <w:szCs w:val="22"/>
        </w:rPr>
        <w:t xml:space="preserve"> situó la carga tributaría en </w:t>
      </w:r>
      <w:r w:rsidR="007E1B50" w:rsidRPr="0052693A">
        <w:rPr>
          <w:szCs w:val="22"/>
        </w:rPr>
        <w:t xml:space="preserve">un </w:t>
      </w:r>
      <w:r w:rsidR="006B4B3B" w:rsidRPr="0052693A">
        <w:rPr>
          <w:szCs w:val="22"/>
        </w:rPr>
        <w:t>15% (ligeramente superior a 2010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cuando fue </w:t>
      </w:r>
      <w:r w:rsidR="007E1B50" w:rsidRPr="0052693A">
        <w:rPr>
          <w:szCs w:val="22"/>
        </w:rPr>
        <w:t xml:space="preserve">del </w:t>
      </w:r>
      <w:r w:rsidR="006B4B3B" w:rsidRPr="0052693A">
        <w:rPr>
          <w:szCs w:val="22"/>
        </w:rPr>
        <w:t>14</w:t>
      </w:r>
      <w:proofErr w:type="gramStart"/>
      <w:r w:rsidR="006B4B3B" w:rsidRPr="0052693A">
        <w:rPr>
          <w:szCs w:val="22"/>
        </w:rPr>
        <w:t>,8</w:t>
      </w:r>
      <w:proofErr w:type="gramEnd"/>
      <w:r w:rsidR="006B4B3B" w:rsidRPr="0052693A">
        <w:rPr>
          <w:szCs w:val="22"/>
        </w:rPr>
        <w:t>%</w:t>
      </w:r>
      <w:r w:rsidR="007E1B50" w:rsidRPr="0052693A">
        <w:rPr>
          <w:szCs w:val="22"/>
        </w:rPr>
        <w:t>)</w:t>
      </w:r>
      <w:r w:rsidR="006B4B3B" w:rsidRPr="0052693A">
        <w:rPr>
          <w:szCs w:val="22"/>
        </w:rPr>
        <w:t>. Por su parte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los ingresos por donaciones nuevamente presentaron una reducción de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10</w:t>
      </w:r>
      <w:proofErr w:type="gramStart"/>
      <w:r w:rsidR="006B4B3B" w:rsidRPr="0052693A">
        <w:rPr>
          <w:szCs w:val="22"/>
        </w:rPr>
        <w:t>,9</w:t>
      </w:r>
      <w:proofErr w:type="gramEnd"/>
      <w:r w:rsidR="006B4B3B" w:rsidRPr="0052693A">
        <w:rPr>
          <w:szCs w:val="22"/>
        </w:rPr>
        <w:t>%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que </w:t>
      </w:r>
      <w:r w:rsidR="007E1B50" w:rsidRPr="0052693A">
        <w:rPr>
          <w:szCs w:val="22"/>
        </w:rPr>
        <w:t xml:space="preserve">se </w:t>
      </w:r>
      <w:r w:rsidR="006B4B3B" w:rsidRPr="0052693A">
        <w:rPr>
          <w:szCs w:val="22"/>
        </w:rPr>
        <w:t>suma a la re</w:t>
      </w:r>
      <w:r w:rsidR="007E1B50" w:rsidRPr="0052693A">
        <w:rPr>
          <w:szCs w:val="22"/>
        </w:rPr>
        <w:t xml:space="preserve">baja del 18,8% verificada en </w:t>
      </w:r>
      <w:r w:rsidR="006B4B3B" w:rsidRPr="0052693A">
        <w:rPr>
          <w:szCs w:val="22"/>
        </w:rPr>
        <w:t>2010</w:t>
      </w:r>
      <w:r w:rsidR="007E1B50" w:rsidRPr="0052693A">
        <w:rPr>
          <w:szCs w:val="22"/>
        </w:rPr>
        <w:t xml:space="preserve">, cuando se </w:t>
      </w:r>
      <w:r w:rsidR="006B4B3B" w:rsidRPr="0052693A">
        <w:rPr>
          <w:szCs w:val="22"/>
        </w:rPr>
        <w:t>situar</w:t>
      </w:r>
      <w:r w:rsidR="007E1B50" w:rsidRPr="0052693A">
        <w:rPr>
          <w:szCs w:val="22"/>
        </w:rPr>
        <w:t>on</w:t>
      </w:r>
      <w:r w:rsidR="006B4B3B" w:rsidRPr="0052693A">
        <w:rPr>
          <w:szCs w:val="22"/>
        </w:rPr>
        <w:t xml:space="preserve"> en 4.078,1 millones</w:t>
      </w:r>
      <w:r w:rsidR="007E1B50" w:rsidRPr="0052693A">
        <w:rPr>
          <w:szCs w:val="22"/>
        </w:rPr>
        <w:t xml:space="preserve"> de lempiras</w:t>
      </w:r>
      <w:r w:rsidR="006B4B3B" w:rsidRPr="0052693A">
        <w:rPr>
          <w:szCs w:val="22"/>
        </w:rPr>
        <w:t xml:space="preserve"> (</w:t>
      </w:r>
      <w:r w:rsidR="007E1B50" w:rsidRPr="0052693A">
        <w:rPr>
          <w:szCs w:val="22"/>
        </w:rPr>
        <w:t xml:space="preserve">un </w:t>
      </w:r>
      <w:r w:rsidR="006B4B3B" w:rsidRPr="0052693A">
        <w:rPr>
          <w:szCs w:val="22"/>
        </w:rPr>
        <w:t xml:space="preserve">1,7% del PIB). </w:t>
      </w:r>
    </w:p>
    <w:p w:rsidR="004F7A11" w:rsidRPr="0052693A" w:rsidRDefault="004F7A11" w:rsidP="004A0212">
      <w:pPr>
        <w:rPr>
          <w:szCs w:val="22"/>
        </w:rPr>
      </w:pPr>
    </w:p>
    <w:p w:rsidR="007E1B50" w:rsidRDefault="004F7A11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Los </w:t>
      </w:r>
      <w:proofErr w:type="spellStart"/>
      <w:r w:rsidR="006B4B3B" w:rsidRPr="0052693A">
        <w:rPr>
          <w:szCs w:val="22"/>
        </w:rPr>
        <w:t>gastos</w:t>
      </w:r>
      <w:proofErr w:type="spellEnd"/>
      <w:r w:rsidR="006B4B3B" w:rsidRPr="0052693A">
        <w:rPr>
          <w:szCs w:val="22"/>
        </w:rPr>
        <w:t xml:space="preserve"> </w:t>
      </w:r>
      <w:proofErr w:type="spellStart"/>
      <w:r w:rsidR="006B4B3B" w:rsidRPr="0052693A">
        <w:rPr>
          <w:szCs w:val="22"/>
        </w:rPr>
        <w:t>totales</w:t>
      </w:r>
      <w:proofErr w:type="spellEnd"/>
      <w:r w:rsidR="006B4B3B" w:rsidRPr="0052693A">
        <w:rPr>
          <w:szCs w:val="22"/>
        </w:rPr>
        <w:t xml:space="preserve"> se </w:t>
      </w:r>
      <w:proofErr w:type="spellStart"/>
      <w:r w:rsidR="006B4B3B" w:rsidRPr="0052693A">
        <w:rPr>
          <w:szCs w:val="22"/>
        </w:rPr>
        <w:t>situaron</w:t>
      </w:r>
      <w:proofErr w:type="spellEnd"/>
      <w:r w:rsidR="006B4B3B" w:rsidRPr="0052693A">
        <w:rPr>
          <w:szCs w:val="22"/>
        </w:rPr>
        <w:t xml:space="preserve"> en 72.222,5 millones </w:t>
      </w:r>
      <w:r w:rsidR="007E1B50" w:rsidRPr="0052693A">
        <w:rPr>
          <w:szCs w:val="22"/>
        </w:rPr>
        <w:t xml:space="preserve">de lempiras </w:t>
      </w:r>
      <w:r w:rsidR="006B4B3B" w:rsidRPr="0052693A">
        <w:rPr>
          <w:szCs w:val="22"/>
        </w:rPr>
        <w:t>(</w:t>
      </w:r>
      <w:r w:rsidR="007E1B50" w:rsidRPr="0052693A">
        <w:rPr>
          <w:szCs w:val="22"/>
        </w:rPr>
        <w:t xml:space="preserve">un </w:t>
      </w:r>
      <w:r w:rsidR="006B4B3B" w:rsidRPr="0052693A">
        <w:rPr>
          <w:szCs w:val="22"/>
        </w:rPr>
        <w:t>21</w:t>
      </w:r>
      <w:proofErr w:type="gramStart"/>
      <w:r w:rsidR="006B4B3B" w:rsidRPr="0052693A">
        <w:rPr>
          <w:szCs w:val="22"/>
        </w:rPr>
        <w:t>,9</w:t>
      </w:r>
      <w:proofErr w:type="gramEnd"/>
      <w:r w:rsidR="006B4B3B" w:rsidRPr="0052693A">
        <w:rPr>
          <w:szCs w:val="22"/>
        </w:rPr>
        <w:t xml:space="preserve">% del PIB), </w:t>
      </w:r>
      <w:r w:rsidR="007E1B50" w:rsidRPr="0052693A">
        <w:rPr>
          <w:szCs w:val="22"/>
        </w:rPr>
        <w:t xml:space="preserve">un nivel </w:t>
      </w:r>
      <w:r w:rsidR="006B4B3B" w:rsidRPr="0052693A">
        <w:rPr>
          <w:szCs w:val="22"/>
        </w:rPr>
        <w:t>muy similar al registrado en 2010 (</w:t>
      </w:r>
      <w:r w:rsidR="007E1B50" w:rsidRPr="0052693A">
        <w:rPr>
          <w:szCs w:val="22"/>
        </w:rPr>
        <w:t xml:space="preserve">un </w:t>
      </w:r>
      <w:r w:rsidR="006B4B3B" w:rsidRPr="0052693A">
        <w:rPr>
          <w:szCs w:val="22"/>
        </w:rPr>
        <w:t>22,2% del PIB). El gasto corriente continuó absorbiendo la mayor</w:t>
      </w:r>
      <w:r w:rsidR="007E1B50" w:rsidRPr="0052693A">
        <w:rPr>
          <w:szCs w:val="22"/>
        </w:rPr>
        <w:t>ía</w:t>
      </w:r>
      <w:r w:rsidR="006B4B3B" w:rsidRPr="0052693A">
        <w:rPr>
          <w:szCs w:val="22"/>
        </w:rPr>
        <w:t xml:space="preserve"> de los recursos, el aumento tuvo su origen en el pago de intereses de la deuda que alcanzaron </w:t>
      </w:r>
      <w:r w:rsidR="007E1B50" w:rsidRPr="0052693A">
        <w:rPr>
          <w:szCs w:val="22"/>
        </w:rPr>
        <w:t>a</w:t>
      </w:r>
      <w:r w:rsidR="006B4B3B" w:rsidRPr="0052693A">
        <w:rPr>
          <w:szCs w:val="22"/>
        </w:rPr>
        <w:t xml:space="preserve">l 1,4% del </w:t>
      </w:r>
      <w:r w:rsidR="006B4B3B" w:rsidRPr="0052693A">
        <w:rPr>
          <w:szCs w:val="22"/>
        </w:rPr>
        <w:lastRenderedPageBreak/>
        <w:t>PIB y en el aumento de las transferencias corrientes al resto del sector p</w:t>
      </w:r>
      <w:r w:rsidR="007E1B50" w:rsidRPr="0052693A">
        <w:rPr>
          <w:szCs w:val="22"/>
        </w:rPr>
        <w:t>ú</w:t>
      </w:r>
      <w:r w:rsidR="006B4B3B" w:rsidRPr="0052693A">
        <w:rPr>
          <w:szCs w:val="22"/>
        </w:rPr>
        <w:t xml:space="preserve">blico y al sector privado para el subsidio de la educación, la energía y </w:t>
      </w:r>
      <w:r w:rsidR="007E1B50" w:rsidRPr="0052693A">
        <w:rPr>
          <w:szCs w:val="22"/>
        </w:rPr>
        <w:t>e</w:t>
      </w:r>
      <w:r w:rsidR="006B4B3B" w:rsidRPr="0052693A">
        <w:rPr>
          <w:szCs w:val="22"/>
        </w:rPr>
        <w:t xml:space="preserve">l transporte urbano. </w:t>
      </w:r>
    </w:p>
    <w:p w:rsidR="004F7A11" w:rsidRPr="0052693A" w:rsidRDefault="004F7A11" w:rsidP="004A0212">
      <w:pPr>
        <w:rPr>
          <w:szCs w:val="22"/>
        </w:rPr>
      </w:pPr>
    </w:p>
    <w:p w:rsidR="007E1B50" w:rsidRPr="009433CA" w:rsidRDefault="004F7A11" w:rsidP="004A0212">
      <w:pPr>
        <w:rPr>
          <w:spacing w:val="2"/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Las </w:t>
      </w:r>
      <w:proofErr w:type="spellStart"/>
      <w:r w:rsidR="006B4B3B" w:rsidRPr="0052693A">
        <w:rPr>
          <w:szCs w:val="22"/>
        </w:rPr>
        <w:t>necesidades</w:t>
      </w:r>
      <w:proofErr w:type="spellEnd"/>
      <w:r w:rsidR="006B4B3B" w:rsidRPr="0052693A">
        <w:rPr>
          <w:szCs w:val="22"/>
        </w:rPr>
        <w:t xml:space="preserve"> de </w:t>
      </w:r>
      <w:proofErr w:type="spellStart"/>
      <w:r w:rsidR="006B4B3B" w:rsidRPr="0052693A">
        <w:rPr>
          <w:szCs w:val="22"/>
        </w:rPr>
        <w:t>financiamiento</w:t>
      </w:r>
      <w:proofErr w:type="spellEnd"/>
      <w:r w:rsidR="006B4B3B" w:rsidRPr="0052693A">
        <w:rPr>
          <w:szCs w:val="22"/>
        </w:rPr>
        <w:t xml:space="preserve"> </w:t>
      </w:r>
      <w:proofErr w:type="spellStart"/>
      <w:r w:rsidR="006B4B3B" w:rsidRPr="0052693A">
        <w:rPr>
          <w:szCs w:val="22"/>
        </w:rPr>
        <w:t>llevaron</w:t>
      </w:r>
      <w:proofErr w:type="spellEnd"/>
      <w:r w:rsidR="006B4B3B" w:rsidRPr="0052693A">
        <w:rPr>
          <w:szCs w:val="22"/>
        </w:rPr>
        <w:t xml:space="preserve"> a un aumento </w:t>
      </w:r>
      <w:r w:rsidR="007E1B50" w:rsidRPr="0052693A">
        <w:rPr>
          <w:szCs w:val="22"/>
        </w:rPr>
        <w:t>del 28</w:t>
      </w:r>
      <w:proofErr w:type="gramStart"/>
      <w:r w:rsidR="007E1B50" w:rsidRPr="0052693A">
        <w:rPr>
          <w:szCs w:val="22"/>
        </w:rPr>
        <w:t>,5</w:t>
      </w:r>
      <w:proofErr w:type="gramEnd"/>
      <w:r w:rsidR="007E1B50" w:rsidRPr="0052693A">
        <w:rPr>
          <w:szCs w:val="22"/>
        </w:rPr>
        <w:t xml:space="preserve">% </w:t>
      </w:r>
      <w:r w:rsidR="006B4B3B" w:rsidRPr="0052693A">
        <w:rPr>
          <w:szCs w:val="22"/>
        </w:rPr>
        <w:t xml:space="preserve">de la deuda interna del </w:t>
      </w:r>
      <w:r w:rsidR="007E1B50" w:rsidRPr="0052693A">
        <w:rPr>
          <w:szCs w:val="22"/>
        </w:rPr>
        <w:t>g</w:t>
      </w:r>
      <w:r w:rsidR="006B4B3B" w:rsidRPr="0052693A">
        <w:rPr>
          <w:szCs w:val="22"/>
        </w:rPr>
        <w:t xml:space="preserve">obierno </w:t>
      </w:r>
      <w:r w:rsidR="007E1B50" w:rsidRPr="0052693A">
        <w:rPr>
          <w:szCs w:val="22"/>
        </w:rPr>
        <w:t>c</w:t>
      </w:r>
      <w:r w:rsidR="006B4B3B" w:rsidRPr="0052693A">
        <w:rPr>
          <w:szCs w:val="22"/>
        </w:rPr>
        <w:t>entral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lo que la situó en 48</w:t>
      </w:r>
      <w:r w:rsidR="007E1B50" w:rsidRPr="0052693A">
        <w:rPr>
          <w:szCs w:val="22"/>
        </w:rPr>
        <w:t>.</w:t>
      </w:r>
      <w:r w:rsidR="006B4B3B" w:rsidRPr="0052693A">
        <w:rPr>
          <w:szCs w:val="22"/>
        </w:rPr>
        <w:t xml:space="preserve">080 millones </w:t>
      </w:r>
      <w:r w:rsidR="007E1B50" w:rsidRPr="0052693A">
        <w:rPr>
          <w:szCs w:val="22"/>
        </w:rPr>
        <w:t xml:space="preserve">de lempiras </w:t>
      </w:r>
      <w:r w:rsidR="006B4B3B" w:rsidRPr="0052693A">
        <w:rPr>
          <w:szCs w:val="22"/>
        </w:rPr>
        <w:t>(</w:t>
      </w:r>
      <w:r w:rsidR="007E1B50" w:rsidRPr="0052693A">
        <w:rPr>
          <w:szCs w:val="22"/>
        </w:rPr>
        <w:t xml:space="preserve">un </w:t>
      </w:r>
      <w:r w:rsidR="006B4B3B" w:rsidRPr="0052693A">
        <w:rPr>
          <w:szCs w:val="22"/>
        </w:rPr>
        <w:t>14,6% del PIB) a fin</w:t>
      </w:r>
      <w:r w:rsidR="007E1B50" w:rsidRPr="0052693A">
        <w:rPr>
          <w:szCs w:val="22"/>
        </w:rPr>
        <w:t>e</w:t>
      </w:r>
      <w:r w:rsidR="006B4B3B" w:rsidRPr="0052693A">
        <w:rPr>
          <w:szCs w:val="22"/>
        </w:rPr>
        <w:t>s de 2011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frente a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12,9% </w:t>
      </w:r>
      <w:r w:rsidR="007E1B50" w:rsidRPr="0052693A">
        <w:rPr>
          <w:szCs w:val="22"/>
        </w:rPr>
        <w:t xml:space="preserve">registrado </w:t>
      </w:r>
      <w:r w:rsidR="006B4B3B" w:rsidRPr="0052693A">
        <w:rPr>
          <w:szCs w:val="22"/>
        </w:rPr>
        <w:t>en 2010. Un 42,3% de la deuda interna está financia</w:t>
      </w:r>
      <w:r w:rsidR="007E1B50" w:rsidRPr="0052693A">
        <w:rPr>
          <w:szCs w:val="22"/>
        </w:rPr>
        <w:t>da</w:t>
      </w:r>
      <w:r w:rsidR="006B4B3B" w:rsidRPr="0052693A">
        <w:rPr>
          <w:szCs w:val="22"/>
        </w:rPr>
        <w:t xml:space="preserve"> por el sector p</w:t>
      </w:r>
      <w:r w:rsidR="007E1B50" w:rsidRPr="0052693A">
        <w:rPr>
          <w:szCs w:val="22"/>
        </w:rPr>
        <w:t>ú</w:t>
      </w:r>
      <w:r w:rsidR="006B4B3B" w:rsidRPr="0052693A">
        <w:rPr>
          <w:szCs w:val="22"/>
        </w:rPr>
        <w:t xml:space="preserve">blico no financiero, </w:t>
      </w:r>
      <w:r w:rsidR="007E1B50" w:rsidRPr="0052693A">
        <w:rPr>
          <w:szCs w:val="22"/>
        </w:rPr>
        <w:t xml:space="preserve">un </w:t>
      </w:r>
      <w:r w:rsidR="006B4B3B" w:rsidRPr="0052693A">
        <w:rPr>
          <w:szCs w:val="22"/>
        </w:rPr>
        <w:t xml:space="preserve">29,2% por el sector financiero, </w:t>
      </w:r>
      <w:r w:rsidR="007E1B50" w:rsidRPr="0052693A">
        <w:rPr>
          <w:szCs w:val="22"/>
        </w:rPr>
        <w:t xml:space="preserve">un </w:t>
      </w:r>
      <w:r w:rsidR="006B4B3B" w:rsidRPr="0052693A">
        <w:rPr>
          <w:szCs w:val="22"/>
        </w:rPr>
        <w:t xml:space="preserve">16% por el banco central y el resto por otros acreedores no financieros. </w:t>
      </w:r>
      <w:r w:rsidR="007E1B50" w:rsidRPr="009433CA">
        <w:rPr>
          <w:spacing w:val="2"/>
          <w:szCs w:val="22"/>
        </w:rPr>
        <w:t>E</w:t>
      </w:r>
      <w:r w:rsidR="006B4B3B" w:rsidRPr="009433CA">
        <w:rPr>
          <w:spacing w:val="2"/>
          <w:szCs w:val="22"/>
        </w:rPr>
        <w:t>l endeudamiento externo</w:t>
      </w:r>
      <w:r w:rsidR="007E1B50" w:rsidRPr="009433CA">
        <w:rPr>
          <w:spacing w:val="2"/>
          <w:szCs w:val="22"/>
        </w:rPr>
        <w:t>, que</w:t>
      </w:r>
      <w:r w:rsidR="006B4B3B" w:rsidRPr="009433CA">
        <w:rPr>
          <w:spacing w:val="2"/>
          <w:szCs w:val="22"/>
        </w:rPr>
        <w:t xml:space="preserve"> alcanzó </w:t>
      </w:r>
      <w:r w:rsidR="007E1B50" w:rsidRPr="009433CA">
        <w:rPr>
          <w:spacing w:val="2"/>
          <w:szCs w:val="22"/>
        </w:rPr>
        <w:t>a</w:t>
      </w:r>
      <w:r w:rsidR="006B4B3B" w:rsidRPr="009433CA">
        <w:rPr>
          <w:spacing w:val="2"/>
          <w:szCs w:val="22"/>
        </w:rPr>
        <w:t>l 19</w:t>
      </w:r>
      <w:proofErr w:type="gramStart"/>
      <w:r w:rsidR="006B4B3B" w:rsidRPr="009433CA">
        <w:rPr>
          <w:spacing w:val="2"/>
          <w:szCs w:val="22"/>
        </w:rPr>
        <w:t>,3</w:t>
      </w:r>
      <w:proofErr w:type="gramEnd"/>
      <w:r w:rsidR="006B4B3B" w:rsidRPr="009433CA">
        <w:rPr>
          <w:spacing w:val="2"/>
          <w:szCs w:val="22"/>
        </w:rPr>
        <w:t>% del PIB (</w:t>
      </w:r>
      <w:r w:rsidR="007E1B50" w:rsidRPr="009433CA">
        <w:rPr>
          <w:spacing w:val="2"/>
          <w:szCs w:val="22"/>
        </w:rPr>
        <w:t xml:space="preserve">frente a un </w:t>
      </w:r>
      <w:r w:rsidR="006B4B3B" w:rsidRPr="009433CA">
        <w:rPr>
          <w:spacing w:val="2"/>
          <w:szCs w:val="22"/>
        </w:rPr>
        <w:t>18,4% en 2010)</w:t>
      </w:r>
      <w:r w:rsidR="007E1B50" w:rsidRPr="009433CA">
        <w:rPr>
          <w:spacing w:val="2"/>
          <w:szCs w:val="22"/>
        </w:rPr>
        <w:t>,</w:t>
      </w:r>
      <w:r w:rsidR="006B4B3B" w:rsidRPr="009433CA">
        <w:rPr>
          <w:spacing w:val="2"/>
          <w:szCs w:val="22"/>
        </w:rPr>
        <w:t xml:space="preserve"> se concentra en las entidades multilaterales que toman un 64% y el </w:t>
      </w:r>
      <w:proofErr w:type="spellStart"/>
      <w:r w:rsidR="006B4B3B" w:rsidRPr="009433CA">
        <w:rPr>
          <w:spacing w:val="2"/>
          <w:szCs w:val="22"/>
        </w:rPr>
        <w:t>resto</w:t>
      </w:r>
      <w:proofErr w:type="spellEnd"/>
      <w:r w:rsidR="006B4B3B" w:rsidRPr="009433CA">
        <w:rPr>
          <w:spacing w:val="2"/>
          <w:szCs w:val="22"/>
        </w:rPr>
        <w:t xml:space="preserve"> </w:t>
      </w:r>
      <w:proofErr w:type="spellStart"/>
      <w:r w:rsidR="006B4B3B" w:rsidRPr="009433CA">
        <w:rPr>
          <w:spacing w:val="2"/>
          <w:szCs w:val="22"/>
        </w:rPr>
        <w:t>corresponde</w:t>
      </w:r>
      <w:proofErr w:type="spellEnd"/>
      <w:r w:rsidR="006B4B3B" w:rsidRPr="009433CA">
        <w:rPr>
          <w:spacing w:val="2"/>
          <w:szCs w:val="22"/>
        </w:rPr>
        <w:t xml:space="preserve"> a </w:t>
      </w:r>
      <w:proofErr w:type="spellStart"/>
      <w:r w:rsidR="006B4B3B" w:rsidRPr="009433CA">
        <w:rPr>
          <w:spacing w:val="2"/>
          <w:szCs w:val="22"/>
        </w:rPr>
        <w:t>deudas</w:t>
      </w:r>
      <w:proofErr w:type="spellEnd"/>
      <w:r w:rsidR="006B4B3B" w:rsidRPr="009433CA">
        <w:rPr>
          <w:spacing w:val="2"/>
          <w:szCs w:val="22"/>
        </w:rPr>
        <w:t xml:space="preserve"> </w:t>
      </w:r>
      <w:proofErr w:type="spellStart"/>
      <w:r w:rsidR="006B4B3B" w:rsidRPr="009433CA">
        <w:rPr>
          <w:spacing w:val="2"/>
          <w:szCs w:val="22"/>
        </w:rPr>
        <w:t>bilaterales</w:t>
      </w:r>
      <w:proofErr w:type="spellEnd"/>
      <w:r w:rsidR="006B4B3B" w:rsidRPr="009433CA">
        <w:rPr>
          <w:spacing w:val="2"/>
          <w:szCs w:val="22"/>
        </w:rPr>
        <w:t xml:space="preserve"> y </w:t>
      </w:r>
      <w:proofErr w:type="spellStart"/>
      <w:r w:rsidR="006B4B3B" w:rsidRPr="009433CA">
        <w:rPr>
          <w:spacing w:val="2"/>
          <w:szCs w:val="22"/>
        </w:rPr>
        <w:t>comerciales</w:t>
      </w:r>
      <w:proofErr w:type="spellEnd"/>
      <w:r w:rsidR="006B4B3B" w:rsidRPr="009433CA">
        <w:rPr>
          <w:spacing w:val="2"/>
          <w:szCs w:val="22"/>
        </w:rPr>
        <w:t>.</w:t>
      </w:r>
    </w:p>
    <w:p w:rsidR="004F7A11" w:rsidRPr="0052693A" w:rsidRDefault="004F7A11" w:rsidP="004A0212">
      <w:pPr>
        <w:rPr>
          <w:szCs w:val="22"/>
        </w:rPr>
      </w:pPr>
    </w:p>
    <w:p w:rsidR="007E1B50" w:rsidRDefault="006B4B3B" w:rsidP="004A0212">
      <w:pPr>
        <w:rPr>
          <w:szCs w:val="22"/>
        </w:rPr>
      </w:pPr>
      <w:r w:rsidRPr="0052693A">
        <w:rPr>
          <w:szCs w:val="22"/>
        </w:rPr>
        <w:t>El sector p</w:t>
      </w:r>
      <w:r w:rsidR="007E1B50" w:rsidRPr="0052693A">
        <w:rPr>
          <w:szCs w:val="22"/>
        </w:rPr>
        <w:t>ú</w:t>
      </w:r>
      <w:r w:rsidRPr="0052693A">
        <w:rPr>
          <w:szCs w:val="22"/>
        </w:rPr>
        <w:t xml:space="preserve">blico combinado </w:t>
      </w:r>
      <w:r w:rsidR="007E1B50" w:rsidRPr="0052693A">
        <w:rPr>
          <w:szCs w:val="22"/>
        </w:rPr>
        <w:t>—</w:t>
      </w:r>
      <w:r w:rsidRPr="0052693A">
        <w:rPr>
          <w:szCs w:val="22"/>
        </w:rPr>
        <w:t xml:space="preserve">que incluye además del </w:t>
      </w:r>
      <w:r w:rsidR="007E1B50" w:rsidRPr="0052693A">
        <w:rPr>
          <w:szCs w:val="22"/>
        </w:rPr>
        <w:t>g</w:t>
      </w:r>
      <w:r w:rsidRPr="0052693A">
        <w:rPr>
          <w:szCs w:val="22"/>
        </w:rPr>
        <w:t xml:space="preserve">obierno </w:t>
      </w:r>
      <w:r w:rsidR="007E1B50" w:rsidRPr="0052693A">
        <w:rPr>
          <w:szCs w:val="22"/>
        </w:rPr>
        <w:t>c</w:t>
      </w:r>
      <w:r w:rsidRPr="0052693A">
        <w:rPr>
          <w:szCs w:val="22"/>
        </w:rPr>
        <w:t xml:space="preserve">entral a </w:t>
      </w:r>
      <w:r w:rsidR="007E1B50" w:rsidRPr="0052693A">
        <w:rPr>
          <w:szCs w:val="22"/>
        </w:rPr>
        <w:t>o</w:t>
      </w:r>
      <w:r w:rsidRPr="0052693A">
        <w:rPr>
          <w:szCs w:val="22"/>
        </w:rPr>
        <w:t>rganismos desconcentrados, instituciones p</w:t>
      </w:r>
      <w:r w:rsidR="007E1B50" w:rsidRPr="0052693A">
        <w:rPr>
          <w:szCs w:val="22"/>
        </w:rPr>
        <w:t>ú</w:t>
      </w:r>
      <w:r w:rsidRPr="0052693A">
        <w:rPr>
          <w:szCs w:val="22"/>
        </w:rPr>
        <w:t>blicas, gobiernos locales</w:t>
      </w:r>
      <w:r w:rsidR="007E1B50" w:rsidRPr="0052693A">
        <w:rPr>
          <w:szCs w:val="22"/>
        </w:rPr>
        <w:t>,</w:t>
      </w:r>
      <w:r w:rsidRPr="0052693A">
        <w:rPr>
          <w:szCs w:val="22"/>
        </w:rPr>
        <w:t xml:space="preserve"> empresas p</w:t>
      </w:r>
      <w:r w:rsidR="007E1B50" w:rsidRPr="0052693A">
        <w:rPr>
          <w:szCs w:val="22"/>
        </w:rPr>
        <w:t>ú</w:t>
      </w:r>
      <w:r w:rsidRPr="0052693A">
        <w:rPr>
          <w:szCs w:val="22"/>
        </w:rPr>
        <w:t>blicas no financieras y el resultado operativo del Banco Central de Honduras</w:t>
      </w:r>
      <w:r w:rsidR="007E1B50" w:rsidRPr="0052693A">
        <w:rPr>
          <w:szCs w:val="22"/>
        </w:rPr>
        <w:t>—</w:t>
      </w:r>
      <w:r w:rsidRPr="0052693A">
        <w:rPr>
          <w:szCs w:val="22"/>
        </w:rPr>
        <w:t xml:space="preserve"> mostró un déficit de</w:t>
      </w:r>
      <w:r w:rsidR="007E1B50" w:rsidRPr="0052693A">
        <w:rPr>
          <w:szCs w:val="22"/>
        </w:rPr>
        <w:t>l</w:t>
      </w:r>
      <w:r w:rsidRPr="0052693A">
        <w:rPr>
          <w:szCs w:val="22"/>
        </w:rPr>
        <w:t xml:space="preserve"> 2</w:t>
      </w:r>
      <w:proofErr w:type="gramStart"/>
      <w:r w:rsidRPr="0052693A">
        <w:rPr>
          <w:szCs w:val="22"/>
        </w:rPr>
        <w:t>,8</w:t>
      </w:r>
      <w:proofErr w:type="gramEnd"/>
      <w:r w:rsidRPr="0052693A">
        <w:rPr>
          <w:szCs w:val="22"/>
        </w:rPr>
        <w:t>%</w:t>
      </w:r>
      <w:r w:rsidR="007E1B50" w:rsidRPr="0052693A">
        <w:rPr>
          <w:szCs w:val="22"/>
        </w:rPr>
        <w:t>,</w:t>
      </w:r>
      <w:r w:rsidRPr="0052693A">
        <w:rPr>
          <w:szCs w:val="22"/>
        </w:rPr>
        <w:t xml:space="preserve"> ligeramente inferior al 2,9</w:t>
      </w:r>
      <w:r w:rsidR="007E1B50" w:rsidRPr="0052693A">
        <w:rPr>
          <w:szCs w:val="22"/>
        </w:rPr>
        <w:t>%</w:t>
      </w:r>
      <w:r w:rsidRPr="0052693A">
        <w:rPr>
          <w:szCs w:val="22"/>
        </w:rPr>
        <w:t xml:space="preserve"> observado en 2010. E</w:t>
      </w:r>
      <w:r w:rsidR="007E1B50" w:rsidRPr="0052693A">
        <w:rPr>
          <w:szCs w:val="22"/>
        </w:rPr>
        <w:t>st</w:t>
      </w:r>
      <w:r w:rsidRPr="0052693A">
        <w:rPr>
          <w:szCs w:val="22"/>
        </w:rPr>
        <w:t xml:space="preserve">o </w:t>
      </w:r>
      <w:r w:rsidR="007E1B50" w:rsidRPr="0052693A">
        <w:rPr>
          <w:szCs w:val="22"/>
        </w:rPr>
        <w:t>se debe a</w:t>
      </w:r>
      <w:r w:rsidRPr="0052693A">
        <w:rPr>
          <w:szCs w:val="22"/>
        </w:rPr>
        <w:t xml:space="preserve"> que los efectos negativos </w:t>
      </w:r>
      <w:proofErr w:type="gramStart"/>
      <w:r w:rsidRPr="0052693A">
        <w:rPr>
          <w:szCs w:val="22"/>
        </w:rPr>
        <w:t>del</w:t>
      </w:r>
      <w:proofErr w:type="gramEnd"/>
      <w:r w:rsidRPr="0052693A">
        <w:rPr>
          <w:szCs w:val="22"/>
        </w:rPr>
        <w:t xml:space="preserve"> déficit de la </w:t>
      </w:r>
      <w:r w:rsidR="007E1B50" w:rsidRPr="0052693A">
        <w:rPr>
          <w:szCs w:val="22"/>
        </w:rPr>
        <w:t>a</w:t>
      </w:r>
      <w:r w:rsidRPr="0052693A">
        <w:rPr>
          <w:szCs w:val="22"/>
        </w:rPr>
        <w:t xml:space="preserve">dministración </w:t>
      </w:r>
      <w:r w:rsidR="007E1B50" w:rsidRPr="0052693A">
        <w:rPr>
          <w:szCs w:val="22"/>
        </w:rPr>
        <w:t>c</w:t>
      </w:r>
      <w:r w:rsidRPr="0052693A">
        <w:rPr>
          <w:szCs w:val="22"/>
        </w:rPr>
        <w:t>entral fueron parcialmente compensados con superávits de los fondos de pensiones, los que</w:t>
      </w:r>
      <w:r w:rsidR="007E1B50" w:rsidRPr="0052693A">
        <w:rPr>
          <w:szCs w:val="22"/>
        </w:rPr>
        <w:t>,</w:t>
      </w:r>
      <w:r w:rsidRPr="0052693A">
        <w:rPr>
          <w:szCs w:val="22"/>
        </w:rPr>
        <w:t xml:space="preserve"> por su naturaleza financiera</w:t>
      </w:r>
      <w:r w:rsidR="007E1B50" w:rsidRPr="0052693A">
        <w:rPr>
          <w:szCs w:val="22"/>
        </w:rPr>
        <w:t>,</w:t>
      </w:r>
      <w:r w:rsidRPr="0052693A">
        <w:rPr>
          <w:szCs w:val="22"/>
        </w:rPr>
        <w:t xml:space="preserve"> mostraron resultados positivos. </w:t>
      </w:r>
    </w:p>
    <w:p w:rsidR="004F7A11" w:rsidRPr="0052693A" w:rsidRDefault="004F7A11" w:rsidP="004A0212">
      <w:pPr>
        <w:rPr>
          <w:szCs w:val="22"/>
        </w:rPr>
      </w:pPr>
    </w:p>
    <w:p w:rsidR="007E1B50" w:rsidRDefault="004F7A11" w:rsidP="004A0212">
      <w:pPr>
        <w:rPr>
          <w:b/>
          <w:szCs w:val="22"/>
        </w:rPr>
      </w:pPr>
      <w:r w:rsidRPr="004F7A11">
        <w:rPr>
          <w:b/>
          <w:szCs w:val="22"/>
        </w:rPr>
        <w:t>b)</w:t>
      </w:r>
      <w:r w:rsidRPr="004F7A11">
        <w:rPr>
          <w:b/>
          <w:szCs w:val="22"/>
        </w:rPr>
        <w:tab/>
      </w:r>
      <w:proofErr w:type="spellStart"/>
      <w:r w:rsidR="006B4B3B" w:rsidRPr="004F7A11">
        <w:rPr>
          <w:b/>
          <w:szCs w:val="22"/>
        </w:rPr>
        <w:t>Política</w:t>
      </w:r>
      <w:proofErr w:type="spellEnd"/>
      <w:r w:rsidR="006B4B3B" w:rsidRPr="004F7A11">
        <w:rPr>
          <w:b/>
          <w:szCs w:val="22"/>
        </w:rPr>
        <w:t xml:space="preserve"> </w:t>
      </w:r>
      <w:proofErr w:type="spellStart"/>
      <w:r w:rsidR="006B4B3B" w:rsidRPr="004F7A11">
        <w:rPr>
          <w:b/>
          <w:szCs w:val="22"/>
        </w:rPr>
        <w:t>monetaria</w:t>
      </w:r>
      <w:proofErr w:type="spellEnd"/>
      <w:r w:rsidR="006B4B3B" w:rsidRPr="004F7A11">
        <w:rPr>
          <w:b/>
          <w:szCs w:val="22"/>
        </w:rPr>
        <w:t xml:space="preserve">, </w:t>
      </w:r>
      <w:proofErr w:type="spellStart"/>
      <w:r w:rsidR="006B4B3B" w:rsidRPr="004F7A11">
        <w:rPr>
          <w:b/>
          <w:szCs w:val="22"/>
        </w:rPr>
        <w:t>cambiaria</w:t>
      </w:r>
      <w:proofErr w:type="spellEnd"/>
      <w:r w:rsidR="006B4B3B" w:rsidRPr="004F7A11">
        <w:rPr>
          <w:b/>
          <w:szCs w:val="22"/>
        </w:rPr>
        <w:t xml:space="preserve"> y financiera </w:t>
      </w:r>
    </w:p>
    <w:p w:rsidR="004F7A11" w:rsidRPr="004F7A11" w:rsidRDefault="004F7A11" w:rsidP="004A0212">
      <w:pPr>
        <w:rPr>
          <w:b/>
          <w:szCs w:val="22"/>
        </w:rPr>
      </w:pPr>
    </w:p>
    <w:p w:rsidR="007E1B50" w:rsidRPr="0052693A" w:rsidRDefault="004F7A11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El </w:t>
      </w:r>
      <w:proofErr w:type="spellStart"/>
      <w:r w:rsidR="006B4B3B" w:rsidRPr="0052693A">
        <w:rPr>
          <w:szCs w:val="22"/>
        </w:rPr>
        <w:t>Banco</w:t>
      </w:r>
      <w:proofErr w:type="spellEnd"/>
      <w:r w:rsidR="006B4B3B" w:rsidRPr="0052693A">
        <w:rPr>
          <w:szCs w:val="22"/>
        </w:rPr>
        <w:t xml:space="preserve"> Central de Honduras continuó orientando su política a velar por el mantenimiento </w:t>
      </w:r>
      <w:proofErr w:type="gramStart"/>
      <w:r w:rsidR="006B4B3B" w:rsidRPr="0052693A">
        <w:rPr>
          <w:szCs w:val="22"/>
        </w:rPr>
        <w:t>del</w:t>
      </w:r>
      <w:proofErr w:type="gramEnd"/>
      <w:r w:rsidR="006B4B3B" w:rsidRPr="0052693A">
        <w:rPr>
          <w:szCs w:val="22"/>
        </w:rPr>
        <w:t xml:space="preserve"> valor interno y externo de la moneda. Con </w:t>
      </w:r>
      <w:proofErr w:type="gramStart"/>
      <w:r w:rsidR="006B4B3B" w:rsidRPr="0052693A">
        <w:rPr>
          <w:szCs w:val="22"/>
        </w:rPr>
        <w:t>ese</w:t>
      </w:r>
      <w:proofErr w:type="gramEnd"/>
      <w:r w:rsidR="006B4B3B" w:rsidRPr="0052693A">
        <w:rPr>
          <w:szCs w:val="22"/>
        </w:rPr>
        <w:t xml:space="preserve"> propósito</w:t>
      </w:r>
      <w:r w:rsidR="007E1B50" w:rsidRPr="0052693A">
        <w:rPr>
          <w:szCs w:val="22"/>
        </w:rPr>
        <w:t xml:space="preserve">, en </w:t>
      </w:r>
      <w:r w:rsidR="006B4B3B" w:rsidRPr="0052693A">
        <w:rPr>
          <w:szCs w:val="22"/>
        </w:rPr>
        <w:t xml:space="preserve">2011 intensificó sus operaciones de mercado abierto orientadas a reducir la liquidez de origen interno y </w:t>
      </w:r>
      <w:r w:rsidR="007E1B50" w:rsidRPr="0052693A">
        <w:rPr>
          <w:szCs w:val="22"/>
        </w:rPr>
        <w:t xml:space="preserve">a </w:t>
      </w:r>
      <w:r w:rsidR="006B4B3B" w:rsidRPr="0052693A">
        <w:rPr>
          <w:szCs w:val="22"/>
        </w:rPr>
        <w:t xml:space="preserve">propiciar la estabilidad de precios y una mejora de las reservas internacionales netas. </w:t>
      </w:r>
      <w:r w:rsidR="007E1B50" w:rsidRPr="0052693A">
        <w:rPr>
          <w:szCs w:val="22"/>
        </w:rPr>
        <w:t xml:space="preserve">En septiembre y noviembre </w:t>
      </w:r>
      <w:r w:rsidR="006B4B3B" w:rsidRPr="0052693A">
        <w:rPr>
          <w:szCs w:val="22"/>
        </w:rPr>
        <w:t xml:space="preserve">elevó la tasa de interés de </w:t>
      </w:r>
      <w:r w:rsidR="007E1B50" w:rsidRPr="0052693A">
        <w:rPr>
          <w:szCs w:val="22"/>
        </w:rPr>
        <w:t xml:space="preserve">la </w:t>
      </w:r>
      <w:r w:rsidR="006B4B3B" w:rsidRPr="0052693A">
        <w:rPr>
          <w:szCs w:val="22"/>
        </w:rPr>
        <w:t xml:space="preserve">política monetaria (50 puntos básicos en cada ocasión) para situarla </w:t>
      </w:r>
      <w:r w:rsidR="007E1B50" w:rsidRPr="0052693A">
        <w:rPr>
          <w:szCs w:val="22"/>
        </w:rPr>
        <w:t>en el 5</w:t>
      </w:r>
      <w:proofErr w:type="gramStart"/>
      <w:r w:rsidR="007E1B50" w:rsidRPr="0052693A">
        <w:rPr>
          <w:szCs w:val="22"/>
        </w:rPr>
        <w:t>,5</w:t>
      </w:r>
      <w:proofErr w:type="gramEnd"/>
      <w:r w:rsidR="007E1B50" w:rsidRPr="0052693A">
        <w:rPr>
          <w:szCs w:val="22"/>
        </w:rPr>
        <w:t xml:space="preserve">% </w:t>
      </w:r>
      <w:r w:rsidR="006B4B3B" w:rsidRPr="0052693A">
        <w:rPr>
          <w:szCs w:val="22"/>
        </w:rPr>
        <w:t xml:space="preserve">al cierre de 2011. </w:t>
      </w:r>
    </w:p>
    <w:p w:rsidR="007E1B50" w:rsidRDefault="006B4B3B" w:rsidP="004A0212">
      <w:pPr>
        <w:rPr>
          <w:szCs w:val="22"/>
        </w:rPr>
      </w:pPr>
      <w:r w:rsidRPr="0052693A">
        <w:rPr>
          <w:szCs w:val="22"/>
        </w:rPr>
        <w:t xml:space="preserve">Con el propósito de proteger la situación externa </w:t>
      </w:r>
      <w:proofErr w:type="gramStart"/>
      <w:r w:rsidRPr="0052693A">
        <w:rPr>
          <w:szCs w:val="22"/>
        </w:rPr>
        <w:t>del</w:t>
      </w:r>
      <w:proofErr w:type="gramEnd"/>
      <w:r w:rsidRPr="0052693A">
        <w:rPr>
          <w:szCs w:val="22"/>
        </w:rPr>
        <w:t xml:space="preserve"> país ante la incertidumbre de los mercados financieros internacionales</w:t>
      </w:r>
      <w:r w:rsidR="007E1B50" w:rsidRPr="0052693A">
        <w:rPr>
          <w:szCs w:val="22"/>
        </w:rPr>
        <w:t>,</w:t>
      </w:r>
      <w:r w:rsidRPr="0052693A">
        <w:rPr>
          <w:szCs w:val="22"/>
        </w:rPr>
        <w:t xml:space="preserve"> el Banco Central de Honduras reestableció el sistema de bandas cambiarias que había aplicado </w:t>
      </w:r>
      <w:r w:rsidR="007E1B50" w:rsidRPr="0052693A">
        <w:rPr>
          <w:szCs w:val="22"/>
        </w:rPr>
        <w:t>de</w:t>
      </w:r>
      <w:r w:rsidRPr="0052693A">
        <w:rPr>
          <w:szCs w:val="22"/>
        </w:rPr>
        <w:t xml:space="preserve"> 1994 </w:t>
      </w:r>
      <w:r w:rsidR="007E1B50" w:rsidRPr="0052693A">
        <w:rPr>
          <w:szCs w:val="22"/>
        </w:rPr>
        <w:t>a</w:t>
      </w:r>
      <w:r w:rsidRPr="0052693A">
        <w:rPr>
          <w:szCs w:val="22"/>
        </w:rPr>
        <w:t xml:space="preserve"> enero </w:t>
      </w:r>
      <w:r w:rsidR="007E1B50" w:rsidRPr="0052693A">
        <w:rPr>
          <w:szCs w:val="22"/>
        </w:rPr>
        <w:t xml:space="preserve">de </w:t>
      </w:r>
      <w:r w:rsidRPr="0052693A">
        <w:rPr>
          <w:szCs w:val="22"/>
        </w:rPr>
        <w:t xml:space="preserve">2006. </w:t>
      </w:r>
    </w:p>
    <w:p w:rsidR="004F7A11" w:rsidRPr="0052693A" w:rsidRDefault="004F7A11" w:rsidP="004A0212">
      <w:pPr>
        <w:rPr>
          <w:szCs w:val="22"/>
        </w:rPr>
      </w:pPr>
    </w:p>
    <w:p w:rsidR="007E1B50" w:rsidRDefault="004F7A11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La reactivación de la banda </w:t>
      </w:r>
      <w:r w:rsidR="007E1B50" w:rsidRPr="0052693A">
        <w:rPr>
          <w:szCs w:val="22"/>
        </w:rPr>
        <w:t xml:space="preserve">cambiaria </w:t>
      </w:r>
      <w:r w:rsidR="006B4B3B" w:rsidRPr="0052693A">
        <w:rPr>
          <w:szCs w:val="22"/>
        </w:rPr>
        <w:t>permitió que el tipo de cambio cerrara con una ligera depreciación nominal de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0</w:t>
      </w:r>
      <w:proofErr w:type="gramStart"/>
      <w:r w:rsidR="006B4B3B" w:rsidRPr="0052693A">
        <w:rPr>
          <w:szCs w:val="22"/>
        </w:rPr>
        <w:t>,83</w:t>
      </w:r>
      <w:proofErr w:type="gramEnd"/>
      <w:r w:rsidR="006B4B3B" w:rsidRPr="0052693A">
        <w:rPr>
          <w:szCs w:val="22"/>
        </w:rPr>
        <w:t>%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mientras que en términos reales se depreció un 0,9%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frente a una apreciación real de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3,8% en 2010. </w:t>
      </w:r>
    </w:p>
    <w:p w:rsidR="004F7A11" w:rsidRPr="0052693A" w:rsidRDefault="004F7A11" w:rsidP="004A0212">
      <w:pPr>
        <w:rPr>
          <w:szCs w:val="22"/>
        </w:rPr>
      </w:pPr>
    </w:p>
    <w:p w:rsidR="007E1B50" w:rsidRDefault="004F7A11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Como resultado de la contracción de liquidez y de la participación del </w:t>
      </w:r>
      <w:r w:rsidR="007E1B50" w:rsidRPr="0052693A">
        <w:rPr>
          <w:szCs w:val="22"/>
        </w:rPr>
        <w:t>b</w:t>
      </w:r>
      <w:r w:rsidR="006B4B3B" w:rsidRPr="0052693A">
        <w:rPr>
          <w:szCs w:val="22"/>
        </w:rPr>
        <w:t xml:space="preserve">anco </w:t>
      </w:r>
      <w:r w:rsidR="007E1B50" w:rsidRPr="0052693A">
        <w:rPr>
          <w:szCs w:val="22"/>
        </w:rPr>
        <w:t>c</w:t>
      </w:r>
      <w:r w:rsidR="006B4B3B" w:rsidRPr="0052693A">
        <w:rPr>
          <w:szCs w:val="22"/>
        </w:rPr>
        <w:t xml:space="preserve">entral en el mercado cambiario para mantener el tipo de cambio como ancla de la inflación, esta se situó en </w:t>
      </w:r>
      <w:r w:rsidR="007E1B50" w:rsidRPr="0052693A">
        <w:rPr>
          <w:szCs w:val="22"/>
        </w:rPr>
        <w:t xml:space="preserve">el </w:t>
      </w:r>
      <w:r w:rsidR="006B4B3B" w:rsidRPr="0052693A">
        <w:rPr>
          <w:szCs w:val="22"/>
        </w:rPr>
        <w:t xml:space="preserve">5,6% al cierre de 2011. </w:t>
      </w:r>
    </w:p>
    <w:p w:rsidR="004F7A11" w:rsidRPr="0052693A" w:rsidRDefault="004F7A11" w:rsidP="004A0212">
      <w:pPr>
        <w:rPr>
          <w:szCs w:val="22"/>
        </w:rPr>
      </w:pPr>
    </w:p>
    <w:p w:rsidR="007E1B50" w:rsidRDefault="004F7A11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Los </w:t>
      </w:r>
      <w:proofErr w:type="spellStart"/>
      <w:r w:rsidR="006B4B3B" w:rsidRPr="0052693A">
        <w:rPr>
          <w:szCs w:val="22"/>
        </w:rPr>
        <w:t>activos</w:t>
      </w:r>
      <w:proofErr w:type="spellEnd"/>
      <w:r w:rsidR="006B4B3B" w:rsidRPr="0052693A">
        <w:rPr>
          <w:szCs w:val="22"/>
        </w:rPr>
        <w:t xml:space="preserve"> </w:t>
      </w:r>
      <w:proofErr w:type="spellStart"/>
      <w:r w:rsidR="006B4B3B" w:rsidRPr="0052693A">
        <w:rPr>
          <w:szCs w:val="22"/>
        </w:rPr>
        <w:t>crediticios</w:t>
      </w:r>
      <w:proofErr w:type="spellEnd"/>
      <w:r w:rsidR="006B4B3B" w:rsidRPr="0052693A">
        <w:rPr>
          <w:szCs w:val="22"/>
        </w:rPr>
        <w:t xml:space="preserve"> del </w:t>
      </w:r>
      <w:proofErr w:type="spellStart"/>
      <w:r w:rsidR="006B4B3B" w:rsidRPr="0052693A">
        <w:rPr>
          <w:szCs w:val="22"/>
        </w:rPr>
        <w:t>sistema</w:t>
      </w:r>
      <w:proofErr w:type="spellEnd"/>
      <w:r w:rsidR="006B4B3B" w:rsidRPr="0052693A">
        <w:rPr>
          <w:szCs w:val="22"/>
        </w:rPr>
        <w:t xml:space="preserve"> financiero alcanzaron </w:t>
      </w:r>
      <w:r w:rsidR="007E1B50" w:rsidRPr="0052693A">
        <w:rPr>
          <w:szCs w:val="22"/>
        </w:rPr>
        <w:t>los</w:t>
      </w:r>
      <w:r w:rsidR="006B4B3B" w:rsidRPr="0052693A">
        <w:rPr>
          <w:szCs w:val="22"/>
        </w:rPr>
        <w:t xml:space="preserve"> 158.389 millones </w:t>
      </w:r>
      <w:r w:rsidR="007E1B50" w:rsidRPr="0052693A">
        <w:rPr>
          <w:szCs w:val="22"/>
        </w:rPr>
        <w:t xml:space="preserve">de lempiras en </w:t>
      </w:r>
      <w:r w:rsidR="006B4B3B" w:rsidRPr="0052693A">
        <w:rPr>
          <w:szCs w:val="22"/>
        </w:rPr>
        <w:t>diciembre de 2011 (</w:t>
      </w:r>
      <w:r w:rsidR="007E1B50" w:rsidRPr="0052693A">
        <w:rPr>
          <w:szCs w:val="22"/>
        </w:rPr>
        <w:t xml:space="preserve">un </w:t>
      </w:r>
      <w:r w:rsidR="006B4B3B" w:rsidRPr="0052693A">
        <w:rPr>
          <w:szCs w:val="22"/>
        </w:rPr>
        <w:t>74</w:t>
      </w:r>
      <w:proofErr w:type="gramStart"/>
      <w:r w:rsidR="006B4B3B" w:rsidRPr="0052693A">
        <w:rPr>
          <w:szCs w:val="22"/>
        </w:rPr>
        <w:t>,6</w:t>
      </w:r>
      <w:proofErr w:type="gramEnd"/>
      <w:r w:rsidR="006B4B3B" w:rsidRPr="0052693A">
        <w:rPr>
          <w:szCs w:val="22"/>
        </w:rPr>
        <w:t xml:space="preserve">% otorgado en </w:t>
      </w:r>
      <w:r w:rsidR="007E1B50" w:rsidRPr="0052693A">
        <w:rPr>
          <w:szCs w:val="22"/>
        </w:rPr>
        <w:t>esa moneda</w:t>
      </w:r>
      <w:r w:rsidR="006B4B3B" w:rsidRPr="0052693A">
        <w:rPr>
          <w:szCs w:val="22"/>
        </w:rPr>
        <w:t xml:space="preserve"> y el resto en dólares). Con ello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el crédito total alcanzó un crecimiento de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10</w:t>
      </w:r>
      <w:proofErr w:type="gramStart"/>
      <w:r w:rsidR="006B4B3B" w:rsidRPr="0052693A">
        <w:rPr>
          <w:szCs w:val="22"/>
        </w:rPr>
        <w:t>,4</w:t>
      </w:r>
      <w:proofErr w:type="gramEnd"/>
      <w:r w:rsidR="006B4B3B" w:rsidRPr="0052693A">
        <w:rPr>
          <w:szCs w:val="22"/>
        </w:rPr>
        <w:t xml:space="preserve">% respecto </w:t>
      </w:r>
      <w:r w:rsidR="007E1B50" w:rsidRPr="0052693A">
        <w:rPr>
          <w:szCs w:val="22"/>
        </w:rPr>
        <w:t>de</w:t>
      </w:r>
      <w:r w:rsidR="006B4B3B" w:rsidRPr="0052693A">
        <w:rPr>
          <w:szCs w:val="22"/>
        </w:rPr>
        <w:t>l cierre de 2010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cuando </w:t>
      </w:r>
      <w:r w:rsidR="007E1B50" w:rsidRPr="0052693A">
        <w:rPr>
          <w:szCs w:val="22"/>
        </w:rPr>
        <w:t xml:space="preserve">solo </w:t>
      </w:r>
      <w:r w:rsidR="006B4B3B" w:rsidRPr="0052693A">
        <w:rPr>
          <w:szCs w:val="22"/>
        </w:rPr>
        <w:t>aument</w:t>
      </w:r>
      <w:r w:rsidR="007E1B50" w:rsidRPr="0052693A">
        <w:rPr>
          <w:szCs w:val="22"/>
        </w:rPr>
        <w:t xml:space="preserve">ó un </w:t>
      </w:r>
      <w:r w:rsidR="006B4B3B" w:rsidRPr="0052693A">
        <w:rPr>
          <w:szCs w:val="22"/>
        </w:rPr>
        <w:t xml:space="preserve">3,5%. </w:t>
      </w:r>
    </w:p>
    <w:p w:rsidR="004F7A11" w:rsidRPr="0052693A" w:rsidRDefault="004F7A11" w:rsidP="004A0212">
      <w:pPr>
        <w:rPr>
          <w:szCs w:val="22"/>
        </w:rPr>
      </w:pPr>
    </w:p>
    <w:p w:rsidR="007E1B50" w:rsidRDefault="004F7A11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A </w:t>
      </w:r>
      <w:proofErr w:type="spellStart"/>
      <w:r w:rsidR="006B4B3B" w:rsidRPr="0052693A">
        <w:rPr>
          <w:szCs w:val="22"/>
        </w:rPr>
        <w:t>diciembre</w:t>
      </w:r>
      <w:proofErr w:type="spellEnd"/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el </w:t>
      </w:r>
      <w:proofErr w:type="spellStart"/>
      <w:r w:rsidR="006B4B3B" w:rsidRPr="0052693A">
        <w:rPr>
          <w:szCs w:val="22"/>
        </w:rPr>
        <w:t>saldo</w:t>
      </w:r>
      <w:proofErr w:type="spellEnd"/>
      <w:r w:rsidR="006B4B3B" w:rsidRPr="0052693A">
        <w:rPr>
          <w:szCs w:val="22"/>
        </w:rPr>
        <w:t xml:space="preserve"> de esta cartera se concentró en los hogares</w:t>
      </w:r>
      <w:r w:rsidR="007E1B50" w:rsidRPr="0052693A">
        <w:rPr>
          <w:szCs w:val="22"/>
        </w:rPr>
        <w:t xml:space="preserve"> con un </w:t>
      </w:r>
      <w:r w:rsidR="006B4B3B" w:rsidRPr="0052693A">
        <w:rPr>
          <w:szCs w:val="22"/>
        </w:rPr>
        <w:t>54</w:t>
      </w:r>
      <w:proofErr w:type="gramStart"/>
      <w:r w:rsidR="006B4B3B" w:rsidRPr="0052693A">
        <w:rPr>
          <w:szCs w:val="22"/>
        </w:rPr>
        <w:t>,4</w:t>
      </w:r>
      <w:proofErr w:type="gramEnd"/>
      <w:r w:rsidR="006B4B3B" w:rsidRPr="0052693A">
        <w:rPr>
          <w:szCs w:val="22"/>
        </w:rPr>
        <w:t>%</w:t>
      </w:r>
      <w:r w:rsidR="007E1B50" w:rsidRPr="0052693A">
        <w:rPr>
          <w:szCs w:val="22"/>
        </w:rPr>
        <w:t xml:space="preserve">, </w:t>
      </w:r>
      <w:r w:rsidR="006B4B3B" w:rsidRPr="0052693A">
        <w:rPr>
          <w:szCs w:val="22"/>
        </w:rPr>
        <w:t xml:space="preserve">3,1 puntos porcentuales </w:t>
      </w:r>
      <w:r w:rsidR="007E1B50" w:rsidRPr="0052693A">
        <w:rPr>
          <w:szCs w:val="22"/>
        </w:rPr>
        <w:t xml:space="preserve">por encima de </w:t>
      </w:r>
      <w:r w:rsidR="006B4B3B" w:rsidRPr="0052693A">
        <w:rPr>
          <w:szCs w:val="22"/>
        </w:rPr>
        <w:t xml:space="preserve">la </w:t>
      </w:r>
      <w:r w:rsidR="007E1B50" w:rsidRPr="0052693A">
        <w:rPr>
          <w:szCs w:val="22"/>
        </w:rPr>
        <w:t xml:space="preserve">cifra registrada </w:t>
      </w:r>
      <w:r w:rsidR="006B4B3B" w:rsidRPr="0052693A">
        <w:rPr>
          <w:szCs w:val="22"/>
        </w:rPr>
        <w:t>a finales de 2010. Como resultado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el saldo en manos de las empresas y del sector público no financiero se redujo a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45</w:t>
      </w:r>
      <w:proofErr w:type="gramStart"/>
      <w:r w:rsidR="006B4B3B" w:rsidRPr="0052693A">
        <w:rPr>
          <w:szCs w:val="22"/>
        </w:rPr>
        <w:t>,6</w:t>
      </w:r>
      <w:proofErr w:type="gramEnd"/>
      <w:r w:rsidR="006B4B3B" w:rsidRPr="0052693A">
        <w:rPr>
          <w:szCs w:val="22"/>
        </w:rPr>
        <w:t xml:space="preserve">% del total. </w:t>
      </w:r>
      <w:r w:rsidR="007E1B50" w:rsidRPr="0052693A">
        <w:rPr>
          <w:szCs w:val="22"/>
        </w:rPr>
        <w:t>Cabe destacar</w:t>
      </w:r>
      <w:r w:rsidR="006B4B3B" w:rsidRPr="0052693A">
        <w:rPr>
          <w:szCs w:val="22"/>
        </w:rPr>
        <w:t xml:space="preserve"> el aumento de los créditos </w:t>
      </w:r>
      <w:r w:rsidR="007E1B50" w:rsidRPr="0052693A">
        <w:rPr>
          <w:szCs w:val="22"/>
        </w:rPr>
        <w:t xml:space="preserve">otorgados </w:t>
      </w:r>
      <w:proofErr w:type="gramStart"/>
      <w:r w:rsidR="006B4B3B" w:rsidRPr="0052693A">
        <w:rPr>
          <w:szCs w:val="22"/>
        </w:rPr>
        <w:t>a gobiernos locales</w:t>
      </w:r>
      <w:proofErr w:type="gramEnd"/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en particular a las municipalidades. </w:t>
      </w:r>
    </w:p>
    <w:p w:rsidR="004F7A11" w:rsidRPr="0052693A" w:rsidRDefault="004F7A11" w:rsidP="004A0212">
      <w:pPr>
        <w:rPr>
          <w:szCs w:val="22"/>
        </w:rPr>
      </w:pPr>
    </w:p>
    <w:p w:rsidR="007E1B50" w:rsidRDefault="004F7A11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Los esfuerzos realizados por mantener la estabilidad financiera </w:t>
      </w:r>
      <w:r w:rsidR="007E1B50" w:rsidRPr="0052693A">
        <w:rPr>
          <w:szCs w:val="22"/>
        </w:rPr>
        <w:t xml:space="preserve">también </w:t>
      </w:r>
      <w:proofErr w:type="gramStart"/>
      <w:r w:rsidR="006B4B3B" w:rsidRPr="0052693A">
        <w:rPr>
          <w:szCs w:val="22"/>
        </w:rPr>
        <w:t>han</w:t>
      </w:r>
      <w:proofErr w:type="gramEnd"/>
      <w:r w:rsidR="006B4B3B" w:rsidRPr="0052693A">
        <w:rPr>
          <w:szCs w:val="22"/>
        </w:rPr>
        <w:t xml:space="preserve"> incidido </w:t>
      </w:r>
      <w:r w:rsidR="007E1B50" w:rsidRPr="0052693A">
        <w:rPr>
          <w:szCs w:val="22"/>
        </w:rPr>
        <w:t xml:space="preserve">para </w:t>
      </w:r>
      <w:r w:rsidR="006B4B3B" w:rsidRPr="0052693A">
        <w:rPr>
          <w:szCs w:val="22"/>
        </w:rPr>
        <w:t>que las calificadoras internacionales elevaran la calificación de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país en 2011. </w:t>
      </w:r>
    </w:p>
    <w:p w:rsidR="004F7A11" w:rsidRPr="0052693A" w:rsidRDefault="004F7A11" w:rsidP="004A0212">
      <w:pPr>
        <w:rPr>
          <w:szCs w:val="22"/>
        </w:rPr>
      </w:pPr>
    </w:p>
    <w:p w:rsidR="007E1B50" w:rsidRDefault="004F7A11" w:rsidP="004A0212">
      <w:pPr>
        <w:rPr>
          <w:b/>
          <w:szCs w:val="22"/>
        </w:rPr>
      </w:pPr>
      <w:r w:rsidRPr="004F7A11">
        <w:rPr>
          <w:b/>
          <w:szCs w:val="22"/>
        </w:rPr>
        <w:lastRenderedPageBreak/>
        <w:t>c)</w:t>
      </w:r>
      <w:r w:rsidRPr="004F7A11">
        <w:rPr>
          <w:b/>
          <w:szCs w:val="22"/>
        </w:rPr>
        <w:tab/>
      </w:r>
      <w:proofErr w:type="spellStart"/>
      <w:r w:rsidR="006B4B3B" w:rsidRPr="004F7A11">
        <w:rPr>
          <w:b/>
          <w:szCs w:val="22"/>
        </w:rPr>
        <w:t>Política</w:t>
      </w:r>
      <w:proofErr w:type="spellEnd"/>
      <w:r w:rsidR="006B4B3B" w:rsidRPr="004F7A11">
        <w:rPr>
          <w:b/>
          <w:szCs w:val="22"/>
        </w:rPr>
        <w:t xml:space="preserve"> </w:t>
      </w:r>
      <w:proofErr w:type="spellStart"/>
      <w:r w:rsidR="006B4B3B" w:rsidRPr="004F7A11">
        <w:rPr>
          <w:b/>
          <w:szCs w:val="22"/>
        </w:rPr>
        <w:t>comercial</w:t>
      </w:r>
      <w:proofErr w:type="spellEnd"/>
      <w:r w:rsidR="006B4B3B" w:rsidRPr="004F7A11">
        <w:rPr>
          <w:b/>
          <w:szCs w:val="22"/>
        </w:rPr>
        <w:t xml:space="preserve"> </w:t>
      </w:r>
    </w:p>
    <w:p w:rsidR="004F7A11" w:rsidRPr="004F7A11" w:rsidRDefault="004F7A11" w:rsidP="004A0212">
      <w:pPr>
        <w:rPr>
          <w:b/>
          <w:szCs w:val="22"/>
        </w:rPr>
      </w:pPr>
    </w:p>
    <w:p w:rsidR="007E1B50" w:rsidRDefault="004F7A11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Honduras </w:t>
      </w:r>
      <w:proofErr w:type="spellStart"/>
      <w:r w:rsidR="006B4B3B" w:rsidRPr="0052693A">
        <w:rPr>
          <w:szCs w:val="22"/>
        </w:rPr>
        <w:t>mantiene</w:t>
      </w:r>
      <w:proofErr w:type="spellEnd"/>
      <w:r w:rsidR="006B4B3B" w:rsidRPr="0052693A">
        <w:rPr>
          <w:szCs w:val="22"/>
        </w:rPr>
        <w:t xml:space="preserve"> </w:t>
      </w:r>
      <w:proofErr w:type="spellStart"/>
      <w:r w:rsidR="006B4B3B" w:rsidRPr="0052693A">
        <w:rPr>
          <w:szCs w:val="22"/>
        </w:rPr>
        <w:t>una</w:t>
      </w:r>
      <w:proofErr w:type="spellEnd"/>
      <w:r w:rsidR="006B4B3B" w:rsidRPr="0052693A">
        <w:rPr>
          <w:szCs w:val="22"/>
        </w:rPr>
        <w:t xml:space="preserve"> </w:t>
      </w:r>
      <w:proofErr w:type="spellStart"/>
      <w:r w:rsidR="006B4B3B" w:rsidRPr="0052693A">
        <w:rPr>
          <w:szCs w:val="22"/>
        </w:rPr>
        <w:t>constante</w:t>
      </w:r>
      <w:proofErr w:type="spellEnd"/>
      <w:r w:rsidR="006B4B3B" w:rsidRPr="0052693A">
        <w:rPr>
          <w:szCs w:val="22"/>
        </w:rPr>
        <w:t xml:space="preserve"> </w:t>
      </w:r>
      <w:proofErr w:type="spellStart"/>
      <w:r w:rsidR="006B4B3B" w:rsidRPr="0052693A">
        <w:rPr>
          <w:szCs w:val="22"/>
        </w:rPr>
        <w:t>participación</w:t>
      </w:r>
      <w:proofErr w:type="spellEnd"/>
      <w:r w:rsidR="006B4B3B" w:rsidRPr="0052693A">
        <w:rPr>
          <w:szCs w:val="22"/>
        </w:rPr>
        <w:t xml:space="preserve"> en las negociaciones regionales con el propósito de acceder a nuevos mercados y atraer inversión extranjera. </w:t>
      </w:r>
      <w:r w:rsidR="007E1B50" w:rsidRPr="0052693A">
        <w:rPr>
          <w:szCs w:val="22"/>
        </w:rPr>
        <w:t xml:space="preserve">Así fue que </w:t>
      </w:r>
      <w:r w:rsidR="006B4B3B" w:rsidRPr="0052693A">
        <w:rPr>
          <w:szCs w:val="22"/>
        </w:rPr>
        <w:t xml:space="preserve">participó en las negociaciones del Acuerdo </w:t>
      </w:r>
      <w:r w:rsidR="007E1B50" w:rsidRPr="0052693A">
        <w:rPr>
          <w:szCs w:val="22"/>
        </w:rPr>
        <w:t>ú</w:t>
      </w:r>
      <w:r w:rsidR="006B4B3B" w:rsidRPr="0052693A">
        <w:rPr>
          <w:szCs w:val="22"/>
        </w:rPr>
        <w:t xml:space="preserve">nico de libre comercio con México y actualmente esta enfocada en la pronta </w:t>
      </w:r>
      <w:r w:rsidR="007E1B50" w:rsidRPr="0052693A">
        <w:rPr>
          <w:szCs w:val="22"/>
        </w:rPr>
        <w:t xml:space="preserve">entrada en vigor </w:t>
      </w:r>
      <w:r w:rsidR="006B4B3B" w:rsidRPr="0052693A">
        <w:rPr>
          <w:szCs w:val="22"/>
        </w:rPr>
        <w:t>del Tratado de Asociación Económica con la Unión Europea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negociado en mayo 2010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y cuyos textos finales se espera </w:t>
      </w:r>
      <w:r w:rsidR="007E1B50" w:rsidRPr="0052693A">
        <w:rPr>
          <w:szCs w:val="22"/>
        </w:rPr>
        <w:t xml:space="preserve">que </w:t>
      </w:r>
      <w:r w:rsidR="006B4B3B" w:rsidRPr="0052693A">
        <w:rPr>
          <w:szCs w:val="22"/>
        </w:rPr>
        <w:t>se firm</w:t>
      </w:r>
      <w:r w:rsidR="007E1B50" w:rsidRPr="0052693A">
        <w:rPr>
          <w:szCs w:val="22"/>
        </w:rPr>
        <w:t>en</w:t>
      </w:r>
      <w:r w:rsidR="006B4B3B" w:rsidRPr="0052693A">
        <w:rPr>
          <w:szCs w:val="22"/>
        </w:rPr>
        <w:t xml:space="preserve"> en Tegucigalpa a fines de </w:t>
      </w:r>
      <w:proofErr w:type="spellStart"/>
      <w:r w:rsidR="006B4B3B" w:rsidRPr="0052693A">
        <w:rPr>
          <w:szCs w:val="22"/>
        </w:rPr>
        <w:t>junio</w:t>
      </w:r>
      <w:proofErr w:type="spellEnd"/>
      <w:r w:rsidR="006B4B3B" w:rsidRPr="0052693A">
        <w:rPr>
          <w:szCs w:val="22"/>
        </w:rPr>
        <w:t xml:space="preserve"> de 2012.</w:t>
      </w:r>
    </w:p>
    <w:p w:rsidR="004F7A11" w:rsidRDefault="004F7A11" w:rsidP="004A0212">
      <w:pPr>
        <w:rPr>
          <w:szCs w:val="22"/>
        </w:rPr>
      </w:pPr>
    </w:p>
    <w:p w:rsidR="004F7A11" w:rsidRPr="0052693A" w:rsidRDefault="004F7A11" w:rsidP="004A0212">
      <w:pPr>
        <w:rPr>
          <w:szCs w:val="22"/>
        </w:rPr>
      </w:pPr>
    </w:p>
    <w:p w:rsidR="007E1B50" w:rsidRDefault="004F7A11" w:rsidP="004F7A11">
      <w:pPr>
        <w:jc w:val="center"/>
        <w:rPr>
          <w:szCs w:val="22"/>
        </w:rPr>
      </w:pPr>
      <w:r w:rsidRPr="004F7A11">
        <w:rPr>
          <w:b/>
          <w:szCs w:val="22"/>
        </w:rPr>
        <w:t xml:space="preserve">3. </w:t>
      </w:r>
      <w:proofErr w:type="spellStart"/>
      <w:r w:rsidR="007E1B50" w:rsidRPr="004F7A11">
        <w:rPr>
          <w:b/>
          <w:szCs w:val="22"/>
        </w:rPr>
        <w:t>Evolución</w:t>
      </w:r>
      <w:proofErr w:type="spellEnd"/>
      <w:r w:rsidR="007E1B50" w:rsidRPr="004F7A11">
        <w:rPr>
          <w:b/>
          <w:szCs w:val="22"/>
        </w:rPr>
        <w:t xml:space="preserve"> de </w:t>
      </w:r>
      <w:proofErr w:type="spellStart"/>
      <w:r w:rsidR="007E1B50" w:rsidRPr="004F7A11">
        <w:rPr>
          <w:b/>
          <w:szCs w:val="22"/>
        </w:rPr>
        <w:t>las</w:t>
      </w:r>
      <w:proofErr w:type="spellEnd"/>
      <w:r w:rsidR="007E1B50" w:rsidRPr="004F7A11">
        <w:rPr>
          <w:b/>
          <w:szCs w:val="22"/>
        </w:rPr>
        <w:t xml:space="preserve"> </w:t>
      </w:r>
      <w:proofErr w:type="spellStart"/>
      <w:r w:rsidR="007E1B50" w:rsidRPr="004F7A11">
        <w:rPr>
          <w:b/>
          <w:szCs w:val="22"/>
        </w:rPr>
        <w:t>principales</w:t>
      </w:r>
      <w:proofErr w:type="spellEnd"/>
      <w:r w:rsidR="007E1B50" w:rsidRPr="004F7A11">
        <w:rPr>
          <w:b/>
          <w:szCs w:val="22"/>
        </w:rPr>
        <w:t xml:space="preserve"> variables</w:t>
      </w:r>
    </w:p>
    <w:p w:rsidR="004F7A11" w:rsidRPr="004F7A11" w:rsidRDefault="004F7A11" w:rsidP="004F7A11">
      <w:pPr>
        <w:jc w:val="center"/>
        <w:rPr>
          <w:szCs w:val="22"/>
        </w:rPr>
      </w:pPr>
    </w:p>
    <w:p w:rsidR="007E1B50" w:rsidRDefault="004F7A11" w:rsidP="004A0212">
      <w:pPr>
        <w:rPr>
          <w:b/>
          <w:szCs w:val="22"/>
        </w:rPr>
      </w:pPr>
      <w:r w:rsidRPr="004F7A11">
        <w:rPr>
          <w:b/>
          <w:szCs w:val="22"/>
        </w:rPr>
        <w:t>a)</w:t>
      </w:r>
      <w:r w:rsidRPr="004F7A11">
        <w:rPr>
          <w:b/>
          <w:szCs w:val="22"/>
        </w:rPr>
        <w:tab/>
      </w:r>
      <w:r w:rsidR="006B4B3B" w:rsidRPr="004F7A11">
        <w:rPr>
          <w:b/>
          <w:szCs w:val="22"/>
        </w:rPr>
        <w:t xml:space="preserve">La </w:t>
      </w:r>
      <w:proofErr w:type="spellStart"/>
      <w:r w:rsidR="006B4B3B" w:rsidRPr="004F7A11">
        <w:rPr>
          <w:b/>
          <w:szCs w:val="22"/>
        </w:rPr>
        <w:t>actividad</w:t>
      </w:r>
      <w:proofErr w:type="spellEnd"/>
      <w:r w:rsidR="006B4B3B" w:rsidRPr="004F7A11">
        <w:rPr>
          <w:b/>
          <w:szCs w:val="22"/>
        </w:rPr>
        <w:t xml:space="preserve"> </w:t>
      </w:r>
      <w:proofErr w:type="spellStart"/>
      <w:r w:rsidR="006B4B3B" w:rsidRPr="004F7A11">
        <w:rPr>
          <w:b/>
          <w:szCs w:val="22"/>
        </w:rPr>
        <w:t>económica</w:t>
      </w:r>
      <w:proofErr w:type="spellEnd"/>
    </w:p>
    <w:p w:rsidR="004F7A11" w:rsidRPr="004F7A11" w:rsidRDefault="004F7A11" w:rsidP="004A0212">
      <w:pPr>
        <w:rPr>
          <w:b/>
          <w:szCs w:val="22"/>
        </w:rPr>
      </w:pPr>
    </w:p>
    <w:p w:rsidR="007E1B50" w:rsidRDefault="004F7A11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El </w:t>
      </w:r>
      <w:proofErr w:type="spellStart"/>
      <w:r w:rsidR="006B4B3B" w:rsidRPr="0052693A">
        <w:rPr>
          <w:szCs w:val="22"/>
        </w:rPr>
        <w:t>aumento</w:t>
      </w:r>
      <w:proofErr w:type="spellEnd"/>
      <w:r w:rsidR="006B4B3B" w:rsidRPr="0052693A">
        <w:rPr>
          <w:szCs w:val="22"/>
        </w:rPr>
        <w:t xml:space="preserve"> del 3,6% del PIB real en 2011 reflejó el </w:t>
      </w:r>
      <w:r w:rsidR="007E1B50" w:rsidRPr="0052693A">
        <w:rPr>
          <w:szCs w:val="22"/>
        </w:rPr>
        <w:t>notorio</w:t>
      </w:r>
      <w:r w:rsidR="006B4B3B" w:rsidRPr="0052693A">
        <w:rPr>
          <w:szCs w:val="22"/>
        </w:rPr>
        <w:t xml:space="preserve"> dinamismo de las exportaciones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que aumentaron </w:t>
      </w:r>
      <w:r w:rsidR="007E1B50" w:rsidRPr="0052693A">
        <w:rPr>
          <w:szCs w:val="22"/>
        </w:rPr>
        <w:t xml:space="preserve">un </w:t>
      </w:r>
      <w:r w:rsidR="006B4B3B" w:rsidRPr="0052693A">
        <w:rPr>
          <w:szCs w:val="22"/>
        </w:rPr>
        <w:t>25,5% frente a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19% en 2010</w:t>
      </w:r>
      <w:r w:rsidR="007E1B50" w:rsidRPr="0052693A">
        <w:rPr>
          <w:szCs w:val="22"/>
        </w:rPr>
        <w:t xml:space="preserve"> y</w:t>
      </w:r>
      <w:r w:rsidR="006B4B3B" w:rsidRPr="0052693A">
        <w:rPr>
          <w:szCs w:val="22"/>
        </w:rPr>
        <w:t xml:space="preserve"> supera</w:t>
      </w:r>
      <w:r w:rsidR="007E1B50" w:rsidRPr="0052693A">
        <w:rPr>
          <w:szCs w:val="22"/>
        </w:rPr>
        <w:t>ro</w:t>
      </w:r>
      <w:r w:rsidR="006B4B3B" w:rsidRPr="0052693A">
        <w:rPr>
          <w:szCs w:val="22"/>
        </w:rPr>
        <w:t>n los 7</w:t>
      </w:r>
      <w:r w:rsidR="007E1B50" w:rsidRPr="0052693A">
        <w:rPr>
          <w:szCs w:val="22"/>
        </w:rPr>
        <w:t>.</w:t>
      </w:r>
      <w:r w:rsidR="006B4B3B" w:rsidRPr="0052693A">
        <w:rPr>
          <w:szCs w:val="22"/>
        </w:rPr>
        <w:t xml:space="preserve">200 millones de dólares </w:t>
      </w:r>
      <w:r w:rsidR="007E1B50" w:rsidRPr="0052693A">
        <w:rPr>
          <w:szCs w:val="22"/>
        </w:rPr>
        <w:t>(un</w:t>
      </w:r>
      <w:r w:rsidR="006B4B3B" w:rsidRPr="0052693A">
        <w:rPr>
          <w:szCs w:val="22"/>
        </w:rPr>
        <w:t xml:space="preserve"> 41,4% del PIB</w:t>
      </w:r>
      <w:r w:rsidR="007E1B50" w:rsidRPr="0052693A">
        <w:rPr>
          <w:szCs w:val="22"/>
        </w:rPr>
        <w:t>)</w:t>
      </w:r>
      <w:r w:rsidR="006B4B3B" w:rsidRPr="0052693A">
        <w:rPr>
          <w:szCs w:val="22"/>
        </w:rPr>
        <w:t>. La demanda interna también mostró un crecimiento (6</w:t>
      </w:r>
      <w:proofErr w:type="gramStart"/>
      <w:r w:rsidR="006B4B3B" w:rsidRPr="0052693A">
        <w:rPr>
          <w:szCs w:val="22"/>
        </w:rPr>
        <w:t>,1</w:t>
      </w:r>
      <w:proofErr w:type="gramEnd"/>
      <w:r w:rsidR="006B4B3B" w:rsidRPr="0052693A">
        <w:rPr>
          <w:szCs w:val="22"/>
        </w:rPr>
        <w:t>%)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impulsad</w:t>
      </w:r>
      <w:r w:rsidR="007E1B50" w:rsidRPr="0052693A">
        <w:rPr>
          <w:szCs w:val="22"/>
        </w:rPr>
        <w:t>o</w:t>
      </w:r>
      <w:r w:rsidR="006B4B3B" w:rsidRPr="0052693A">
        <w:rPr>
          <w:szCs w:val="22"/>
        </w:rPr>
        <w:t xml:space="preserve"> por el repunte del 3,4% en </w:t>
      </w:r>
      <w:r w:rsidR="007E1B50" w:rsidRPr="0052693A">
        <w:rPr>
          <w:szCs w:val="22"/>
        </w:rPr>
        <w:t xml:space="preserve">el </w:t>
      </w:r>
      <w:r w:rsidR="006B4B3B" w:rsidRPr="0052693A">
        <w:rPr>
          <w:szCs w:val="22"/>
        </w:rPr>
        <w:t>consumo final privado después de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2,4% </w:t>
      </w:r>
      <w:r w:rsidR="007E1B50" w:rsidRPr="0052693A">
        <w:rPr>
          <w:szCs w:val="22"/>
        </w:rPr>
        <w:t xml:space="preserve">registrado </w:t>
      </w:r>
      <w:r w:rsidR="006B4B3B" w:rsidRPr="0052693A">
        <w:rPr>
          <w:szCs w:val="22"/>
        </w:rPr>
        <w:t>en 2010. La formación bruta de capital fijo del sector privado creció un 15</w:t>
      </w:r>
      <w:proofErr w:type="gramStart"/>
      <w:r w:rsidR="006B4B3B" w:rsidRPr="0052693A">
        <w:rPr>
          <w:szCs w:val="22"/>
        </w:rPr>
        <w:t>,2</w:t>
      </w:r>
      <w:proofErr w:type="gramEnd"/>
      <w:r w:rsidR="006B4B3B" w:rsidRPr="0052693A">
        <w:rPr>
          <w:szCs w:val="22"/>
        </w:rPr>
        <w:t xml:space="preserve">%, </w:t>
      </w:r>
      <w:r w:rsidR="007E1B50" w:rsidRPr="0052693A">
        <w:rPr>
          <w:szCs w:val="22"/>
        </w:rPr>
        <w:t xml:space="preserve">lo que muestra un crecimiento </w:t>
      </w:r>
      <w:r w:rsidR="006B4B3B" w:rsidRPr="0052693A">
        <w:rPr>
          <w:szCs w:val="22"/>
        </w:rPr>
        <w:t xml:space="preserve">superior al </w:t>
      </w:r>
      <w:r w:rsidR="007E1B50" w:rsidRPr="0052693A">
        <w:rPr>
          <w:szCs w:val="22"/>
        </w:rPr>
        <w:t>del</w:t>
      </w:r>
      <w:r w:rsidR="006B4B3B" w:rsidRPr="0052693A">
        <w:rPr>
          <w:szCs w:val="22"/>
        </w:rPr>
        <w:t xml:space="preserve"> 5,1% </w:t>
      </w:r>
      <w:r w:rsidR="007E1B50" w:rsidRPr="0052693A">
        <w:rPr>
          <w:szCs w:val="22"/>
        </w:rPr>
        <w:t xml:space="preserve">registrado en </w:t>
      </w:r>
      <w:r w:rsidR="006B4B3B" w:rsidRPr="0052693A">
        <w:rPr>
          <w:szCs w:val="22"/>
        </w:rPr>
        <w:t>2010</w:t>
      </w:r>
      <w:r w:rsidR="007E1B50" w:rsidRPr="0052693A">
        <w:rPr>
          <w:szCs w:val="22"/>
        </w:rPr>
        <w:t>, a causa</w:t>
      </w:r>
      <w:r w:rsidR="006B4B3B" w:rsidRPr="0052693A">
        <w:rPr>
          <w:szCs w:val="22"/>
        </w:rPr>
        <w:t xml:space="preserve"> del aumento de la inversión extranjera. El apoyo de los </w:t>
      </w:r>
      <w:r w:rsidR="007E1B50" w:rsidRPr="0052693A">
        <w:rPr>
          <w:szCs w:val="22"/>
        </w:rPr>
        <w:t>o</w:t>
      </w:r>
      <w:r w:rsidR="006B4B3B" w:rsidRPr="0052693A">
        <w:rPr>
          <w:szCs w:val="22"/>
        </w:rPr>
        <w:t xml:space="preserve">rganismos </w:t>
      </w:r>
      <w:r w:rsidR="007E1B50" w:rsidRPr="0052693A">
        <w:rPr>
          <w:szCs w:val="22"/>
        </w:rPr>
        <w:t>m</w:t>
      </w:r>
      <w:r w:rsidR="006B4B3B" w:rsidRPr="0052693A">
        <w:rPr>
          <w:szCs w:val="22"/>
        </w:rPr>
        <w:t>ultilaterales permitió sostener el crecimiento de la inversión pública que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sin embargo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se desaceleró al mostrar un crecimiento de s</w:t>
      </w:r>
      <w:r w:rsidR="007E1B50" w:rsidRPr="0052693A">
        <w:rPr>
          <w:szCs w:val="22"/>
        </w:rPr>
        <w:t>o</w:t>
      </w:r>
      <w:r w:rsidR="006B4B3B" w:rsidRPr="0052693A">
        <w:rPr>
          <w:szCs w:val="22"/>
        </w:rPr>
        <w:t xml:space="preserve">lo </w:t>
      </w:r>
      <w:r w:rsidR="007E1B50" w:rsidRPr="0052693A">
        <w:rPr>
          <w:szCs w:val="22"/>
        </w:rPr>
        <w:t xml:space="preserve">un </w:t>
      </w:r>
      <w:r w:rsidR="006B4B3B" w:rsidRPr="0052693A">
        <w:rPr>
          <w:szCs w:val="22"/>
        </w:rPr>
        <w:t>8,9% frente a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19% </w:t>
      </w:r>
      <w:r w:rsidR="007E1B50" w:rsidRPr="0052693A">
        <w:rPr>
          <w:szCs w:val="22"/>
        </w:rPr>
        <w:t>de</w:t>
      </w:r>
      <w:r w:rsidR="006B4B3B" w:rsidRPr="0052693A">
        <w:rPr>
          <w:szCs w:val="22"/>
        </w:rPr>
        <w:t xml:space="preserve"> 2010. </w:t>
      </w:r>
    </w:p>
    <w:p w:rsidR="004F7A11" w:rsidRPr="0052693A" w:rsidRDefault="004F7A11" w:rsidP="004A0212">
      <w:pPr>
        <w:rPr>
          <w:szCs w:val="22"/>
        </w:rPr>
      </w:pPr>
    </w:p>
    <w:p w:rsidR="007E1B50" w:rsidRDefault="004F7A11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El </w:t>
      </w:r>
      <w:proofErr w:type="spellStart"/>
      <w:r w:rsidR="006B4B3B" w:rsidRPr="0052693A">
        <w:rPr>
          <w:szCs w:val="22"/>
        </w:rPr>
        <w:t>aumento</w:t>
      </w:r>
      <w:proofErr w:type="spellEnd"/>
      <w:r w:rsidR="006B4B3B" w:rsidRPr="0052693A">
        <w:rPr>
          <w:szCs w:val="22"/>
        </w:rPr>
        <w:t xml:space="preserve"> </w:t>
      </w:r>
      <w:proofErr w:type="gramStart"/>
      <w:r w:rsidR="006B4B3B" w:rsidRPr="0052693A">
        <w:rPr>
          <w:szCs w:val="22"/>
        </w:rPr>
        <w:t>del</w:t>
      </w:r>
      <w:proofErr w:type="gramEnd"/>
      <w:r w:rsidR="006B4B3B" w:rsidRPr="0052693A">
        <w:rPr>
          <w:szCs w:val="22"/>
        </w:rPr>
        <w:t xml:space="preserve"> PIB </w:t>
      </w:r>
      <w:proofErr w:type="spellStart"/>
      <w:r w:rsidR="006B4B3B" w:rsidRPr="0052693A">
        <w:rPr>
          <w:szCs w:val="22"/>
        </w:rPr>
        <w:t>refleja</w:t>
      </w:r>
      <w:proofErr w:type="spellEnd"/>
      <w:r w:rsidR="006B4B3B" w:rsidRPr="0052693A">
        <w:rPr>
          <w:szCs w:val="22"/>
        </w:rPr>
        <w:t xml:space="preserve"> un crecimiento de la mayoría de los sectores productivos. Entre ellos</w:t>
      </w:r>
      <w:r w:rsidR="007E1B50" w:rsidRPr="0052693A">
        <w:rPr>
          <w:szCs w:val="22"/>
        </w:rPr>
        <w:t>, se</w:t>
      </w:r>
      <w:r w:rsidR="006B4B3B" w:rsidRPr="0052693A">
        <w:rPr>
          <w:szCs w:val="22"/>
        </w:rPr>
        <w:t xml:space="preserve"> destaca el sector </w:t>
      </w:r>
      <w:r w:rsidR="007E1B50" w:rsidRPr="0052693A">
        <w:rPr>
          <w:szCs w:val="22"/>
        </w:rPr>
        <w:t xml:space="preserve">de las </w:t>
      </w:r>
      <w:r w:rsidR="006B4B3B" w:rsidRPr="0052693A">
        <w:rPr>
          <w:szCs w:val="22"/>
        </w:rPr>
        <w:t>comunicaciones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que aumentó </w:t>
      </w:r>
      <w:r w:rsidR="007E1B50" w:rsidRPr="0052693A">
        <w:rPr>
          <w:szCs w:val="22"/>
        </w:rPr>
        <w:t xml:space="preserve">un </w:t>
      </w:r>
      <w:r w:rsidR="006B4B3B" w:rsidRPr="0052693A">
        <w:rPr>
          <w:szCs w:val="22"/>
        </w:rPr>
        <w:t xml:space="preserve">10,7%, también superior al 8,6% de 2010 y resultado del continuo aumento de la inversión extranjera. La manufactura creció </w:t>
      </w:r>
      <w:r w:rsidR="007E1B50" w:rsidRPr="0052693A">
        <w:rPr>
          <w:szCs w:val="22"/>
        </w:rPr>
        <w:t xml:space="preserve">un </w:t>
      </w:r>
      <w:r w:rsidR="006B4B3B" w:rsidRPr="0052693A">
        <w:rPr>
          <w:szCs w:val="22"/>
        </w:rPr>
        <w:t>4</w:t>
      </w:r>
      <w:proofErr w:type="gramStart"/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>2</w:t>
      </w:r>
      <w:proofErr w:type="gramEnd"/>
      <w:r w:rsidR="006B4B3B" w:rsidRPr="0052693A">
        <w:rPr>
          <w:szCs w:val="22"/>
        </w:rPr>
        <w:t>%</w:t>
      </w:r>
      <w:r w:rsidR="007E1B50" w:rsidRPr="0052693A">
        <w:rPr>
          <w:szCs w:val="22"/>
        </w:rPr>
        <w:t xml:space="preserve"> en un alza levemente </w:t>
      </w:r>
      <w:r w:rsidR="006B4B3B" w:rsidRPr="0052693A">
        <w:rPr>
          <w:szCs w:val="22"/>
        </w:rPr>
        <w:t>superior a</w:t>
      </w:r>
      <w:r w:rsidR="007E1B50" w:rsidRPr="0052693A">
        <w:rPr>
          <w:szCs w:val="22"/>
        </w:rPr>
        <w:t xml:space="preserve"> </w:t>
      </w:r>
      <w:r w:rsidR="006B4B3B" w:rsidRPr="0052693A">
        <w:rPr>
          <w:szCs w:val="22"/>
        </w:rPr>
        <w:t>l</w:t>
      </w:r>
      <w:r w:rsidR="007E1B50" w:rsidRPr="0052693A">
        <w:rPr>
          <w:szCs w:val="22"/>
        </w:rPr>
        <w:t>a del 4% constatada en</w:t>
      </w:r>
      <w:r w:rsidR="006B4B3B" w:rsidRPr="0052693A">
        <w:rPr>
          <w:szCs w:val="22"/>
        </w:rPr>
        <w:t xml:space="preserve"> 2010. Por su parte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el sector </w:t>
      </w:r>
      <w:r w:rsidR="007E1B50" w:rsidRPr="0052693A">
        <w:rPr>
          <w:szCs w:val="22"/>
        </w:rPr>
        <w:t>de a</w:t>
      </w:r>
      <w:r w:rsidR="006B4B3B" w:rsidRPr="0052693A">
        <w:rPr>
          <w:szCs w:val="22"/>
        </w:rPr>
        <w:t xml:space="preserve">gricultura, ganadería, </w:t>
      </w:r>
      <w:r w:rsidR="007E1B50" w:rsidRPr="0052693A">
        <w:rPr>
          <w:szCs w:val="22"/>
        </w:rPr>
        <w:t>c</w:t>
      </w:r>
      <w:r w:rsidR="006B4B3B" w:rsidRPr="0052693A">
        <w:rPr>
          <w:szCs w:val="22"/>
        </w:rPr>
        <w:t xml:space="preserve">aza, </w:t>
      </w:r>
      <w:r w:rsidR="007E1B50" w:rsidRPr="0052693A">
        <w:rPr>
          <w:szCs w:val="22"/>
        </w:rPr>
        <w:t>s</w:t>
      </w:r>
      <w:r w:rsidR="006B4B3B" w:rsidRPr="0052693A">
        <w:rPr>
          <w:szCs w:val="22"/>
        </w:rPr>
        <w:t>ilvicultura y pesca mostró un crecimiento de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5</w:t>
      </w:r>
      <w:proofErr w:type="gramStart"/>
      <w:r w:rsidR="006B4B3B" w:rsidRPr="0052693A">
        <w:rPr>
          <w:szCs w:val="22"/>
        </w:rPr>
        <w:t>,6</w:t>
      </w:r>
      <w:proofErr w:type="gramEnd"/>
      <w:r w:rsidR="006B4B3B" w:rsidRPr="0052693A">
        <w:rPr>
          <w:szCs w:val="22"/>
        </w:rPr>
        <w:t>%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frente a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1,8% </w:t>
      </w:r>
      <w:r w:rsidR="007E1B50" w:rsidRPr="0052693A">
        <w:rPr>
          <w:szCs w:val="22"/>
        </w:rPr>
        <w:t>d</w:t>
      </w:r>
      <w:r w:rsidR="006B4B3B" w:rsidRPr="0052693A">
        <w:rPr>
          <w:szCs w:val="22"/>
        </w:rPr>
        <w:t xml:space="preserve">e 2010, explicado fundamentalmente por una mayor producción y exportación de café y por un aumento en la producción y exportación de productos marinos. Todo </w:t>
      </w:r>
      <w:r w:rsidR="007E1B50" w:rsidRPr="0052693A">
        <w:rPr>
          <w:szCs w:val="22"/>
        </w:rPr>
        <w:t xml:space="preserve">esto hizo </w:t>
      </w:r>
      <w:r w:rsidR="006B4B3B" w:rsidRPr="0052693A">
        <w:rPr>
          <w:szCs w:val="22"/>
        </w:rPr>
        <w:t>que el comercio aumentara un 4% (</w:t>
      </w:r>
      <w:r w:rsidR="007E1B50" w:rsidRPr="0052693A">
        <w:rPr>
          <w:szCs w:val="22"/>
        </w:rPr>
        <w:t xml:space="preserve">un </w:t>
      </w:r>
      <w:r w:rsidR="006B4B3B" w:rsidRPr="0052693A">
        <w:rPr>
          <w:szCs w:val="22"/>
        </w:rPr>
        <w:t>3</w:t>
      </w:r>
      <w:proofErr w:type="gramStart"/>
      <w:r w:rsidR="006B4B3B" w:rsidRPr="0052693A">
        <w:rPr>
          <w:szCs w:val="22"/>
        </w:rPr>
        <w:t>,2</w:t>
      </w:r>
      <w:proofErr w:type="gramEnd"/>
      <w:r w:rsidR="006B4B3B" w:rsidRPr="0052693A">
        <w:rPr>
          <w:szCs w:val="22"/>
        </w:rPr>
        <w:t xml:space="preserve">% en 2010). El sector </w:t>
      </w:r>
      <w:r w:rsidR="007E1B50" w:rsidRPr="0052693A">
        <w:rPr>
          <w:szCs w:val="22"/>
        </w:rPr>
        <w:t xml:space="preserve">de la </w:t>
      </w:r>
      <w:r w:rsidR="006B4B3B" w:rsidRPr="0052693A">
        <w:rPr>
          <w:szCs w:val="22"/>
        </w:rPr>
        <w:t>construcción</w:t>
      </w:r>
      <w:r w:rsidR="007E1B50" w:rsidRPr="0052693A">
        <w:rPr>
          <w:szCs w:val="22"/>
        </w:rPr>
        <w:t>, por su parte,</w:t>
      </w:r>
      <w:r w:rsidR="006B4B3B" w:rsidRPr="0052693A">
        <w:rPr>
          <w:szCs w:val="22"/>
        </w:rPr>
        <w:t xml:space="preserve"> mostró un crecimiento de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4% que contrasta con la reducción de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6</w:t>
      </w:r>
      <w:proofErr w:type="gramStart"/>
      <w:r w:rsidR="006B4B3B" w:rsidRPr="0052693A">
        <w:rPr>
          <w:szCs w:val="22"/>
        </w:rPr>
        <w:t>,7</w:t>
      </w:r>
      <w:proofErr w:type="gramEnd"/>
      <w:r w:rsidR="006B4B3B" w:rsidRPr="0052693A">
        <w:rPr>
          <w:szCs w:val="22"/>
        </w:rPr>
        <w:t xml:space="preserve">% </w:t>
      </w:r>
      <w:r w:rsidR="007E1B50" w:rsidRPr="0052693A">
        <w:rPr>
          <w:szCs w:val="22"/>
        </w:rPr>
        <w:t xml:space="preserve">registrada </w:t>
      </w:r>
      <w:r w:rsidR="006B4B3B" w:rsidRPr="0052693A">
        <w:rPr>
          <w:szCs w:val="22"/>
        </w:rPr>
        <w:t>en 2010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como resultado de la mayor disponibilidad de crédito. </w:t>
      </w:r>
    </w:p>
    <w:p w:rsidR="004F7A11" w:rsidRPr="0052693A" w:rsidRDefault="004F7A11" w:rsidP="004A0212">
      <w:pPr>
        <w:rPr>
          <w:szCs w:val="22"/>
        </w:rPr>
      </w:pPr>
    </w:p>
    <w:p w:rsidR="007E1B50" w:rsidRDefault="004F7A11" w:rsidP="004A0212">
      <w:pPr>
        <w:rPr>
          <w:szCs w:val="22"/>
        </w:rPr>
      </w:pPr>
      <w:r w:rsidRPr="004F7A11">
        <w:rPr>
          <w:b/>
          <w:szCs w:val="22"/>
        </w:rPr>
        <w:t>b)</w:t>
      </w:r>
      <w:r w:rsidRPr="004F7A11">
        <w:rPr>
          <w:b/>
          <w:szCs w:val="22"/>
        </w:rPr>
        <w:tab/>
      </w:r>
      <w:r w:rsidR="006B4B3B" w:rsidRPr="004F7A11">
        <w:rPr>
          <w:b/>
          <w:szCs w:val="22"/>
        </w:rPr>
        <w:t xml:space="preserve">Los </w:t>
      </w:r>
      <w:proofErr w:type="spellStart"/>
      <w:r w:rsidR="006B4B3B" w:rsidRPr="004F7A11">
        <w:rPr>
          <w:b/>
          <w:szCs w:val="22"/>
        </w:rPr>
        <w:t>precios</w:t>
      </w:r>
      <w:proofErr w:type="spellEnd"/>
      <w:r w:rsidR="006B4B3B" w:rsidRPr="004F7A11">
        <w:rPr>
          <w:b/>
          <w:szCs w:val="22"/>
        </w:rPr>
        <w:t xml:space="preserve">, </w:t>
      </w:r>
      <w:proofErr w:type="spellStart"/>
      <w:r w:rsidR="006B4B3B" w:rsidRPr="004F7A11">
        <w:rPr>
          <w:b/>
          <w:szCs w:val="22"/>
        </w:rPr>
        <w:t>las</w:t>
      </w:r>
      <w:proofErr w:type="spellEnd"/>
      <w:r w:rsidR="006B4B3B" w:rsidRPr="004F7A11">
        <w:rPr>
          <w:b/>
          <w:szCs w:val="22"/>
        </w:rPr>
        <w:t xml:space="preserve"> </w:t>
      </w:r>
      <w:proofErr w:type="spellStart"/>
      <w:r w:rsidR="006B4B3B" w:rsidRPr="004F7A11">
        <w:rPr>
          <w:b/>
          <w:szCs w:val="22"/>
        </w:rPr>
        <w:t>remuneraciones</w:t>
      </w:r>
      <w:proofErr w:type="spellEnd"/>
      <w:r w:rsidR="006B4B3B" w:rsidRPr="004F7A11">
        <w:rPr>
          <w:b/>
          <w:szCs w:val="22"/>
        </w:rPr>
        <w:t xml:space="preserve"> y el empleo </w:t>
      </w:r>
    </w:p>
    <w:p w:rsidR="004F7A11" w:rsidRPr="004F7A11" w:rsidRDefault="004F7A11" w:rsidP="004A0212">
      <w:pPr>
        <w:rPr>
          <w:szCs w:val="22"/>
        </w:rPr>
      </w:pPr>
    </w:p>
    <w:p w:rsidR="007E1B50" w:rsidRDefault="004F7A11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Como se </w:t>
      </w:r>
      <w:proofErr w:type="spellStart"/>
      <w:r w:rsidR="006B4B3B" w:rsidRPr="0052693A">
        <w:rPr>
          <w:szCs w:val="22"/>
        </w:rPr>
        <w:t>indicó</w:t>
      </w:r>
      <w:proofErr w:type="spellEnd"/>
      <w:r w:rsidR="006B4B3B" w:rsidRPr="0052693A">
        <w:rPr>
          <w:szCs w:val="22"/>
        </w:rPr>
        <w:t xml:space="preserve"> a fines de 2011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la inflación interanual se situó en </w:t>
      </w:r>
      <w:r w:rsidR="007E1B50" w:rsidRPr="0052693A">
        <w:rPr>
          <w:szCs w:val="22"/>
        </w:rPr>
        <w:t xml:space="preserve">el </w:t>
      </w:r>
      <w:r w:rsidR="006B4B3B" w:rsidRPr="0052693A">
        <w:rPr>
          <w:szCs w:val="22"/>
        </w:rPr>
        <w:t>5</w:t>
      </w:r>
      <w:proofErr w:type="gramStart"/>
      <w:r w:rsidR="006B4B3B" w:rsidRPr="0052693A">
        <w:rPr>
          <w:szCs w:val="22"/>
        </w:rPr>
        <w:t>,6</w:t>
      </w:r>
      <w:proofErr w:type="gramEnd"/>
      <w:r w:rsidR="006B4B3B" w:rsidRPr="0052693A">
        <w:rPr>
          <w:szCs w:val="22"/>
        </w:rPr>
        <w:t xml:space="preserve">%. El rubro que presentó una mayor participación en el aumento del </w:t>
      </w:r>
      <w:r w:rsidR="007E1B50" w:rsidRPr="0052693A">
        <w:rPr>
          <w:szCs w:val="22"/>
        </w:rPr>
        <w:t>índice de precios al consumidor (</w:t>
      </w:r>
      <w:r w:rsidR="006B4B3B" w:rsidRPr="0052693A">
        <w:rPr>
          <w:szCs w:val="22"/>
        </w:rPr>
        <w:t>IPC</w:t>
      </w:r>
      <w:r w:rsidR="007E1B50" w:rsidRPr="0052693A">
        <w:rPr>
          <w:szCs w:val="22"/>
        </w:rPr>
        <w:t>)</w:t>
      </w:r>
      <w:r w:rsidR="006B4B3B" w:rsidRPr="0052693A">
        <w:rPr>
          <w:szCs w:val="22"/>
        </w:rPr>
        <w:t xml:space="preserve"> fue </w:t>
      </w:r>
      <w:r w:rsidR="007E1B50" w:rsidRPr="0052693A">
        <w:rPr>
          <w:szCs w:val="22"/>
        </w:rPr>
        <w:t>a</w:t>
      </w:r>
      <w:r w:rsidR="006B4B3B" w:rsidRPr="0052693A">
        <w:rPr>
          <w:szCs w:val="22"/>
        </w:rPr>
        <w:t xml:space="preserve">lojamiento, </w:t>
      </w:r>
      <w:r w:rsidR="007E1B50" w:rsidRPr="0052693A">
        <w:rPr>
          <w:szCs w:val="22"/>
        </w:rPr>
        <w:t>e</w:t>
      </w:r>
      <w:r w:rsidR="006B4B3B" w:rsidRPr="0052693A">
        <w:rPr>
          <w:szCs w:val="22"/>
        </w:rPr>
        <w:t xml:space="preserve">lectricidad, </w:t>
      </w:r>
      <w:r w:rsidR="007E1B50" w:rsidRPr="0052693A">
        <w:rPr>
          <w:szCs w:val="22"/>
        </w:rPr>
        <w:t>g</w:t>
      </w:r>
      <w:r w:rsidR="006B4B3B" w:rsidRPr="0052693A">
        <w:rPr>
          <w:szCs w:val="22"/>
        </w:rPr>
        <w:t>as y otros combustibles (24,3%) debido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fundamentalmente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a los </w:t>
      </w:r>
      <w:r w:rsidR="007E1B50" w:rsidRPr="0052693A">
        <w:rPr>
          <w:szCs w:val="22"/>
        </w:rPr>
        <w:t>incrementos</w:t>
      </w:r>
      <w:r w:rsidR="006B4B3B" w:rsidRPr="0052693A">
        <w:rPr>
          <w:szCs w:val="22"/>
        </w:rPr>
        <w:t xml:space="preserve"> de la renta de vivienda y </w:t>
      </w:r>
      <w:r w:rsidR="007E1B50" w:rsidRPr="0052693A">
        <w:rPr>
          <w:szCs w:val="22"/>
        </w:rPr>
        <w:t>de</w:t>
      </w:r>
      <w:r w:rsidR="006B4B3B" w:rsidRPr="0052693A">
        <w:rPr>
          <w:szCs w:val="22"/>
        </w:rPr>
        <w:t>l costo del suministro de energía eléctrica. Otro</w:t>
      </w:r>
      <w:r w:rsidR="007E1B50" w:rsidRPr="0052693A">
        <w:rPr>
          <w:szCs w:val="22"/>
        </w:rPr>
        <w:t>s</w:t>
      </w:r>
      <w:r w:rsidR="006B4B3B" w:rsidRPr="0052693A">
        <w:rPr>
          <w:szCs w:val="22"/>
        </w:rPr>
        <w:t xml:space="preserve"> sectores </w:t>
      </w:r>
      <w:r w:rsidR="007E1B50" w:rsidRPr="0052693A">
        <w:rPr>
          <w:szCs w:val="22"/>
        </w:rPr>
        <w:t>que tuvieron una destacada</w:t>
      </w:r>
      <w:r w:rsidR="006B4B3B" w:rsidRPr="0052693A">
        <w:rPr>
          <w:szCs w:val="22"/>
        </w:rPr>
        <w:t xml:space="preserve"> participación fue</w:t>
      </w:r>
      <w:r w:rsidR="007E1B50" w:rsidRPr="0052693A">
        <w:rPr>
          <w:szCs w:val="22"/>
        </w:rPr>
        <w:t>ron</w:t>
      </w:r>
      <w:r w:rsidR="006B4B3B" w:rsidRPr="0052693A">
        <w:rPr>
          <w:szCs w:val="22"/>
        </w:rPr>
        <w:t xml:space="preserve"> el de transporte (21</w:t>
      </w:r>
      <w:proofErr w:type="gramStart"/>
      <w:r w:rsidR="006B4B3B" w:rsidRPr="0052693A">
        <w:rPr>
          <w:szCs w:val="22"/>
        </w:rPr>
        <w:t>,8</w:t>
      </w:r>
      <w:proofErr w:type="gramEnd"/>
      <w:r w:rsidR="006B4B3B" w:rsidRPr="0052693A">
        <w:rPr>
          <w:szCs w:val="22"/>
        </w:rPr>
        <w:t xml:space="preserve">%) y el de alimentos y bebidas no alcohólicas (18%). </w:t>
      </w:r>
    </w:p>
    <w:p w:rsidR="004F7A11" w:rsidRPr="0052693A" w:rsidRDefault="004F7A11" w:rsidP="004A0212">
      <w:pPr>
        <w:rPr>
          <w:szCs w:val="22"/>
        </w:rPr>
      </w:pPr>
    </w:p>
    <w:p w:rsidR="007E1B50" w:rsidRDefault="004F7A11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El </w:t>
      </w:r>
      <w:proofErr w:type="spellStart"/>
      <w:r w:rsidR="006B4B3B" w:rsidRPr="0052693A">
        <w:rPr>
          <w:szCs w:val="22"/>
        </w:rPr>
        <w:t>gobierno</w:t>
      </w:r>
      <w:proofErr w:type="spellEnd"/>
      <w:r w:rsidR="006B4B3B" w:rsidRPr="0052693A">
        <w:rPr>
          <w:szCs w:val="22"/>
        </w:rPr>
        <w:t xml:space="preserve"> </w:t>
      </w:r>
      <w:proofErr w:type="spellStart"/>
      <w:r w:rsidR="006B4B3B" w:rsidRPr="0052693A">
        <w:rPr>
          <w:szCs w:val="22"/>
        </w:rPr>
        <w:t>aprobó</w:t>
      </w:r>
      <w:proofErr w:type="spellEnd"/>
      <w:r w:rsidR="006B4B3B" w:rsidRPr="0052693A">
        <w:rPr>
          <w:szCs w:val="22"/>
        </w:rPr>
        <w:t xml:space="preserve"> un </w:t>
      </w:r>
      <w:proofErr w:type="spellStart"/>
      <w:r w:rsidR="006B4B3B" w:rsidRPr="0052693A">
        <w:rPr>
          <w:szCs w:val="22"/>
        </w:rPr>
        <w:t>aumento</w:t>
      </w:r>
      <w:proofErr w:type="spellEnd"/>
      <w:r w:rsidR="006B4B3B" w:rsidRPr="0052693A">
        <w:rPr>
          <w:szCs w:val="22"/>
        </w:rPr>
        <w:t xml:space="preserve"> del salario mínimo mensual a partir del 1 de enero </w:t>
      </w:r>
      <w:r w:rsidR="007E1B50" w:rsidRPr="0052693A">
        <w:rPr>
          <w:szCs w:val="22"/>
        </w:rPr>
        <w:t xml:space="preserve">de </w:t>
      </w:r>
      <w:r w:rsidR="006B4B3B" w:rsidRPr="0052693A">
        <w:rPr>
          <w:szCs w:val="22"/>
        </w:rPr>
        <w:t xml:space="preserve">2011 </w:t>
      </w:r>
      <w:r w:rsidR="007E1B50" w:rsidRPr="0052693A">
        <w:rPr>
          <w:szCs w:val="22"/>
        </w:rPr>
        <w:t>sobre la</w:t>
      </w:r>
      <w:r w:rsidR="006B4B3B" w:rsidRPr="0052693A">
        <w:rPr>
          <w:szCs w:val="22"/>
        </w:rPr>
        <w:t xml:space="preserve"> base </w:t>
      </w:r>
      <w:r w:rsidR="007E1B50" w:rsidRPr="0052693A">
        <w:rPr>
          <w:szCs w:val="22"/>
        </w:rPr>
        <w:t>d</w:t>
      </w:r>
      <w:r w:rsidR="006B4B3B" w:rsidRPr="0052693A">
        <w:rPr>
          <w:szCs w:val="22"/>
        </w:rPr>
        <w:t>e una f</w:t>
      </w:r>
      <w:r w:rsidR="007E1B50" w:rsidRPr="0052693A">
        <w:rPr>
          <w:szCs w:val="22"/>
        </w:rPr>
        <w:t>ó</w:t>
      </w:r>
      <w:r w:rsidR="006B4B3B" w:rsidRPr="0052693A">
        <w:rPr>
          <w:szCs w:val="22"/>
        </w:rPr>
        <w:t xml:space="preserve">rmula que incorporó los aumentos de </w:t>
      </w:r>
      <w:r w:rsidR="007E1B50" w:rsidRPr="0052693A">
        <w:rPr>
          <w:szCs w:val="22"/>
        </w:rPr>
        <w:t xml:space="preserve">la </w:t>
      </w:r>
      <w:r w:rsidR="006B4B3B" w:rsidRPr="0052693A">
        <w:rPr>
          <w:szCs w:val="22"/>
        </w:rPr>
        <w:t xml:space="preserve">inflación y </w:t>
      </w:r>
      <w:r w:rsidR="007E1B50" w:rsidRPr="0052693A">
        <w:rPr>
          <w:szCs w:val="22"/>
        </w:rPr>
        <w:t xml:space="preserve">el </w:t>
      </w:r>
      <w:r w:rsidR="006B4B3B" w:rsidRPr="0052693A">
        <w:rPr>
          <w:szCs w:val="22"/>
        </w:rPr>
        <w:t>crecimiento económico de 2010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que se situaron en </w:t>
      </w:r>
      <w:r w:rsidR="007E1B50" w:rsidRPr="0052693A">
        <w:rPr>
          <w:szCs w:val="22"/>
        </w:rPr>
        <w:t xml:space="preserve">un </w:t>
      </w:r>
      <w:r w:rsidR="006B4B3B" w:rsidRPr="0052693A">
        <w:rPr>
          <w:szCs w:val="22"/>
        </w:rPr>
        <w:t xml:space="preserve">2,8% y </w:t>
      </w:r>
      <w:r w:rsidR="007E1B50" w:rsidRPr="0052693A">
        <w:rPr>
          <w:szCs w:val="22"/>
        </w:rPr>
        <w:t xml:space="preserve">un </w:t>
      </w:r>
      <w:r w:rsidR="006B4B3B" w:rsidRPr="0052693A">
        <w:rPr>
          <w:szCs w:val="22"/>
        </w:rPr>
        <w:t>6,5%, respectivamente. Con e</w:t>
      </w:r>
      <w:r w:rsidR="007E1B50" w:rsidRPr="0052693A">
        <w:rPr>
          <w:szCs w:val="22"/>
        </w:rPr>
        <w:t>sta medida,</w:t>
      </w:r>
      <w:r w:rsidR="006B4B3B" w:rsidRPr="0052693A">
        <w:rPr>
          <w:szCs w:val="22"/>
        </w:rPr>
        <w:t xml:space="preserve"> el salario mínimo medio mensual pasó de 5.565,4 </w:t>
      </w:r>
      <w:r w:rsidR="007E1B50" w:rsidRPr="0052693A">
        <w:rPr>
          <w:szCs w:val="22"/>
        </w:rPr>
        <w:t xml:space="preserve">lempiras </w:t>
      </w:r>
      <w:r w:rsidR="006B4B3B" w:rsidRPr="0052693A">
        <w:rPr>
          <w:szCs w:val="22"/>
        </w:rPr>
        <w:t>en 2010 a 6</w:t>
      </w:r>
      <w:r w:rsidR="007E1B50" w:rsidRPr="0052693A">
        <w:rPr>
          <w:szCs w:val="22"/>
        </w:rPr>
        <w:t>.</w:t>
      </w:r>
      <w:r w:rsidR="006B4B3B" w:rsidRPr="0052693A">
        <w:rPr>
          <w:szCs w:val="22"/>
        </w:rPr>
        <w:t>121,8</w:t>
      </w:r>
      <w:r w:rsidR="007E1B50" w:rsidRPr="0052693A">
        <w:rPr>
          <w:szCs w:val="22"/>
        </w:rPr>
        <w:t xml:space="preserve"> lempiras</w:t>
      </w:r>
      <w:r w:rsidR="006B4B3B" w:rsidRPr="0052693A">
        <w:rPr>
          <w:szCs w:val="22"/>
        </w:rPr>
        <w:t xml:space="preserve"> en 2011. </w:t>
      </w:r>
    </w:p>
    <w:p w:rsidR="004F7A11" w:rsidRPr="0052693A" w:rsidRDefault="004F7A11" w:rsidP="004A0212">
      <w:pPr>
        <w:rPr>
          <w:szCs w:val="22"/>
        </w:rPr>
      </w:pPr>
    </w:p>
    <w:p w:rsidR="007E1B50" w:rsidRDefault="004F7A11" w:rsidP="004A0212">
      <w:pPr>
        <w:rPr>
          <w:szCs w:val="22"/>
        </w:rPr>
      </w:pPr>
      <w:r>
        <w:rPr>
          <w:szCs w:val="22"/>
        </w:rPr>
        <w:tab/>
      </w:r>
      <w:proofErr w:type="spellStart"/>
      <w:r w:rsidR="007E1B50" w:rsidRPr="0052693A">
        <w:rPr>
          <w:szCs w:val="22"/>
        </w:rPr>
        <w:t>Según</w:t>
      </w:r>
      <w:proofErr w:type="spellEnd"/>
      <w:r w:rsidR="006B4B3B" w:rsidRPr="0052693A">
        <w:rPr>
          <w:szCs w:val="22"/>
        </w:rPr>
        <w:t xml:space="preserve"> la </w:t>
      </w:r>
      <w:proofErr w:type="spellStart"/>
      <w:r w:rsidR="006B4B3B" w:rsidRPr="0052693A">
        <w:rPr>
          <w:szCs w:val="22"/>
        </w:rPr>
        <w:t>Encuesta</w:t>
      </w:r>
      <w:proofErr w:type="spellEnd"/>
      <w:r w:rsidR="006B4B3B" w:rsidRPr="0052693A">
        <w:rPr>
          <w:szCs w:val="22"/>
        </w:rPr>
        <w:t xml:space="preserve"> Permanente de Hogares de Propósitos Múltiples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elaborada por el I</w:t>
      </w:r>
      <w:r w:rsidR="007E1B50" w:rsidRPr="0052693A">
        <w:rPr>
          <w:szCs w:val="22"/>
        </w:rPr>
        <w:t xml:space="preserve">nstituto </w:t>
      </w:r>
      <w:r w:rsidR="006B4B3B" w:rsidRPr="0052693A">
        <w:rPr>
          <w:szCs w:val="22"/>
        </w:rPr>
        <w:t>N</w:t>
      </w:r>
      <w:r w:rsidR="007E1B50" w:rsidRPr="0052693A">
        <w:rPr>
          <w:szCs w:val="22"/>
        </w:rPr>
        <w:t xml:space="preserve">acional de </w:t>
      </w:r>
      <w:r w:rsidR="006B4B3B" w:rsidRPr="0052693A">
        <w:rPr>
          <w:szCs w:val="22"/>
        </w:rPr>
        <w:t>E</w:t>
      </w:r>
      <w:r w:rsidR="007E1B50" w:rsidRPr="0052693A">
        <w:rPr>
          <w:szCs w:val="22"/>
        </w:rPr>
        <w:t>stadística (INE),</w:t>
      </w:r>
      <w:r w:rsidR="006B4B3B" w:rsidRPr="0052693A">
        <w:rPr>
          <w:szCs w:val="22"/>
        </w:rPr>
        <w:t xml:space="preserve"> el nivel de desocupación abierta se situó en </w:t>
      </w:r>
      <w:r w:rsidR="007E1B50" w:rsidRPr="0052693A">
        <w:rPr>
          <w:szCs w:val="22"/>
        </w:rPr>
        <w:t xml:space="preserve">un </w:t>
      </w:r>
      <w:r w:rsidR="006B4B3B" w:rsidRPr="0052693A">
        <w:rPr>
          <w:szCs w:val="22"/>
        </w:rPr>
        <w:t xml:space="preserve">4,3% </w:t>
      </w:r>
      <w:r w:rsidR="007E1B50" w:rsidRPr="0052693A">
        <w:rPr>
          <w:szCs w:val="22"/>
        </w:rPr>
        <w:t xml:space="preserve">a fines de mayo de 2011, </w:t>
      </w:r>
      <w:r w:rsidR="006B4B3B" w:rsidRPr="0052693A">
        <w:rPr>
          <w:szCs w:val="22"/>
        </w:rPr>
        <w:t xml:space="preserve">frente a </w:t>
      </w:r>
      <w:r w:rsidR="007E1B50" w:rsidRPr="0052693A">
        <w:rPr>
          <w:szCs w:val="22"/>
        </w:rPr>
        <w:t xml:space="preserve">un </w:t>
      </w:r>
      <w:r w:rsidR="006B4B3B" w:rsidRPr="0052693A">
        <w:rPr>
          <w:szCs w:val="22"/>
        </w:rPr>
        <w:t xml:space="preserve">3,9% </w:t>
      </w:r>
      <w:r w:rsidR="007E1B50" w:rsidRPr="0052693A">
        <w:rPr>
          <w:szCs w:val="22"/>
        </w:rPr>
        <w:t>12</w:t>
      </w:r>
      <w:r w:rsidR="006B4B3B" w:rsidRPr="0052693A">
        <w:rPr>
          <w:szCs w:val="22"/>
        </w:rPr>
        <w:t xml:space="preserve"> meses atrás. </w:t>
      </w:r>
    </w:p>
    <w:p w:rsidR="004F7A11" w:rsidRPr="0052693A" w:rsidRDefault="004F7A11" w:rsidP="004A0212">
      <w:pPr>
        <w:rPr>
          <w:szCs w:val="22"/>
        </w:rPr>
      </w:pPr>
    </w:p>
    <w:p w:rsidR="007E1B50" w:rsidRDefault="004F7A11" w:rsidP="004A0212">
      <w:pPr>
        <w:rPr>
          <w:szCs w:val="22"/>
        </w:rPr>
      </w:pPr>
      <w:r w:rsidRPr="004F7A11">
        <w:rPr>
          <w:b/>
          <w:szCs w:val="22"/>
        </w:rPr>
        <w:lastRenderedPageBreak/>
        <w:t>c)</w:t>
      </w:r>
      <w:r w:rsidRPr="004F7A11">
        <w:rPr>
          <w:b/>
          <w:szCs w:val="22"/>
        </w:rPr>
        <w:tab/>
      </w:r>
      <w:r w:rsidR="006B4B3B" w:rsidRPr="004F7A11">
        <w:rPr>
          <w:b/>
          <w:szCs w:val="22"/>
        </w:rPr>
        <w:t xml:space="preserve">El sector </w:t>
      </w:r>
      <w:proofErr w:type="spellStart"/>
      <w:r w:rsidR="006B4B3B" w:rsidRPr="004F7A11">
        <w:rPr>
          <w:b/>
          <w:szCs w:val="22"/>
        </w:rPr>
        <w:t>externo</w:t>
      </w:r>
      <w:proofErr w:type="spellEnd"/>
      <w:r w:rsidR="006B4B3B" w:rsidRPr="004F7A11">
        <w:rPr>
          <w:b/>
          <w:szCs w:val="22"/>
        </w:rPr>
        <w:t xml:space="preserve"> </w:t>
      </w:r>
    </w:p>
    <w:p w:rsidR="004F7A11" w:rsidRPr="004F7A11" w:rsidRDefault="004F7A11" w:rsidP="004A0212">
      <w:pPr>
        <w:rPr>
          <w:szCs w:val="22"/>
        </w:rPr>
      </w:pPr>
    </w:p>
    <w:p w:rsidR="007E1B50" w:rsidRDefault="004F7A11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Las </w:t>
      </w:r>
      <w:proofErr w:type="spellStart"/>
      <w:r w:rsidR="006B4B3B" w:rsidRPr="0052693A">
        <w:rPr>
          <w:szCs w:val="22"/>
        </w:rPr>
        <w:t>ventas</w:t>
      </w:r>
      <w:proofErr w:type="spellEnd"/>
      <w:r w:rsidR="006B4B3B" w:rsidRPr="0052693A">
        <w:rPr>
          <w:szCs w:val="22"/>
        </w:rPr>
        <w:t xml:space="preserve"> de </w:t>
      </w:r>
      <w:proofErr w:type="spellStart"/>
      <w:r w:rsidR="006B4B3B" w:rsidRPr="0052693A">
        <w:rPr>
          <w:szCs w:val="22"/>
        </w:rPr>
        <w:t>bienes</w:t>
      </w:r>
      <w:proofErr w:type="spellEnd"/>
      <w:r w:rsidR="006B4B3B" w:rsidRPr="0052693A">
        <w:rPr>
          <w:szCs w:val="22"/>
        </w:rPr>
        <w:t xml:space="preserve"> al exterior en 2011 alcanzaron los 7.204,3 millones </w:t>
      </w:r>
      <w:r w:rsidR="007E1B50" w:rsidRPr="0052693A">
        <w:rPr>
          <w:szCs w:val="22"/>
        </w:rPr>
        <w:t xml:space="preserve">de dólares </w:t>
      </w:r>
      <w:r w:rsidR="006B4B3B" w:rsidRPr="0052693A">
        <w:rPr>
          <w:szCs w:val="22"/>
        </w:rPr>
        <w:t>(</w:t>
      </w:r>
      <w:r w:rsidR="007E1B50" w:rsidRPr="0052693A">
        <w:rPr>
          <w:szCs w:val="22"/>
        </w:rPr>
        <w:t xml:space="preserve">un </w:t>
      </w:r>
      <w:r w:rsidR="006B4B3B" w:rsidRPr="0052693A">
        <w:rPr>
          <w:szCs w:val="22"/>
        </w:rPr>
        <w:t xml:space="preserve">25,5% por encima de 2010) como consecuencia del aumento de </w:t>
      </w:r>
      <w:r w:rsidR="007E1B50" w:rsidRPr="0052693A">
        <w:rPr>
          <w:szCs w:val="22"/>
        </w:rPr>
        <w:t xml:space="preserve">los </w:t>
      </w:r>
      <w:r w:rsidR="006B4B3B" w:rsidRPr="0052693A">
        <w:rPr>
          <w:szCs w:val="22"/>
        </w:rPr>
        <w:t xml:space="preserve">volúmenes de venta ante la recuperación de la demanda externa y en particular del </w:t>
      </w:r>
      <w:r w:rsidR="007E1B50" w:rsidRPr="0052693A">
        <w:rPr>
          <w:szCs w:val="22"/>
        </w:rPr>
        <w:t>alza</w:t>
      </w:r>
      <w:r w:rsidR="006B4B3B" w:rsidRPr="0052693A">
        <w:rPr>
          <w:szCs w:val="22"/>
        </w:rPr>
        <w:t xml:space="preserve"> de </w:t>
      </w:r>
      <w:r w:rsidR="007E1B50" w:rsidRPr="0052693A">
        <w:rPr>
          <w:szCs w:val="22"/>
        </w:rPr>
        <w:t xml:space="preserve">los </w:t>
      </w:r>
      <w:r w:rsidR="006B4B3B" w:rsidRPr="0052693A">
        <w:rPr>
          <w:szCs w:val="22"/>
        </w:rPr>
        <w:t>precios de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café, </w:t>
      </w:r>
      <w:r w:rsidR="007E1B50" w:rsidRPr="0052693A">
        <w:rPr>
          <w:szCs w:val="22"/>
        </w:rPr>
        <w:t xml:space="preserve">el </w:t>
      </w:r>
      <w:r w:rsidR="006B4B3B" w:rsidRPr="0052693A">
        <w:rPr>
          <w:szCs w:val="22"/>
        </w:rPr>
        <w:t>azúcar y otros productos tradicionales de exportación. Dichos aumentos situaron el valor de las exportaciones en un monto equivalente al 41</w:t>
      </w:r>
      <w:proofErr w:type="gramStart"/>
      <w:r w:rsidR="006B4B3B" w:rsidRPr="0052693A">
        <w:rPr>
          <w:szCs w:val="22"/>
        </w:rPr>
        <w:t>,4</w:t>
      </w:r>
      <w:proofErr w:type="gramEnd"/>
      <w:r w:rsidR="006B4B3B" w:rsidRPr="0052693A">
        <w:rPr>
          <w:szCs w:val="22"/>
        </w:rPr>
        <w:t>% del PIB</w:t>
      </w:r>
      <w:r w:rsidR="007E1B50" w:rsidRPr="0052693A">
        <w:rPr>
          <w:szCs w:val="22"/>
        </w:rPr>
        <w:t xml:space="preserve"> (</w:t>
      </w:r>
      <w:r w:rsidR="006B4B3B" w:rsidRPr="0052693A">
        <w:rPr>
          <w:szCs w:val="22"/>
        </w:rPr>
        <w:t>frente a un 37,3% en 2010</w:t>
      </w:r>
      <w:r w:rsidR="007E1B50" w:rsidRPr="0052693A">
        <w:rPr>
          <w:szCs w:val="22"/>
        </w:rPr>
        <w:t>)</w:t>
      </w:r>
      <w:r w:rsidR="006B4B3B" w:rsidRPr="0052693A">
        <w:rPr>
          <w:szCs w:val="22"/>
        </w:rPr>
        <w:t>.</w:t>
      </w:r>
      <w:r w:rsidR="007E1B50" w:rsidRPr="0052693A">
        <w:rPr>
          <w:szCs w:val="22"/>
        </w:rPr>
        <w:t xml:space="preserve"> </w:t>
      </w:r>
    </w:p>
    <w:p w:rsidR="004F7A11" w:rsidRPr="0052693A" w:rsidRDefault="004F7A11" w:rsidP="004A0212">
      <w:pPr>
        <w:rPr>
          <w:szCs w:val="22"/>
        </w:rPr>
      </w:pPr>
    </w:p>
    <w:p w:rsidR="007E1B50" w:rsidRDefault="004F7A11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En el </w:t>
      </w:r>
      <w:proofErr w:type="spellStart"/>
      <w:r w:rsidR="006B4B3B" w:rsidRPr="0052693A">
        <w:rPr>
          <w:szCs w:val="22"/>
        </w:rPr>
        <w:t>caso</w:t>
      </w:r>
      <w:proofErr w:type="spellEnd"/>
      <w:r w:rsidR="006B4B3B" w:rsidRPr="0052693A">
        <w:rPr>
          <w:szCs w:val="22"/>
        </w:rPr>
        <w:t xml:space="preserve"> del café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el precio medio aument</w:t>
      </w:r>
      <w:r w:rsidR="007E1B50" w:rsidRPr="0052693A">
        <w:rPr>
          <w:szCs w:val="22"/>
        </w:rPr>
        <w:t>ó</w:t>
      </w:r>
      <w:r w:rsidR="006B4B3B" w:rsidRPr="0052693A">
        <w:rPr>
          <w:szCs w:val="22"/>
        </w:rPr>
        <w:t xml:space="preserve"> un 59</w:t>
      </w:r>
      <w:proofErr w:type="gramStart"/>
      <w:r w:rsidR="006B4B3B" w:rsidRPr="0052693A">
        <w:rPr>
          <w:szCs w:val="22"/>
        </w:rPr>
        <w:t>,8</w:t>
      </w:r>
      <w:proofErr w:type="gramEnd"/>
      <w:r w:rsidR="006B4B3B" w:rsidRPr="0052693A">
        <w:rPr>
          <w:szCs w:val="22"/>
        </w:rPr>
        <w:t xml:space="preserve">% y </w:t>
      </w:r>
      <w:r w:rsidR="007E1B50" w:rsidRPr="0052693A">
        <w:rPr>
          <w:szCs w:val="22"/>
        </w:rPr>
        <w:t>el</w:t>
      </w:r>
      <w:r w:rsidR="006B4B3B" w:rsidRPr="0052693A">
        <w:rPr>
          <w:szCs w:val="22"/>
        </w:rPr>
        <w:t xml:space="preserve"> volumen exportado </w:t>
      </w:r>
      <w:r w:rsidR="007E1B50" w:rsidRPr="0052693A">
        <w:rPr>
          <w:szCs w:val="22"/>
        </w:rPr>
        <w:t>creció u</w:t>
      </w:r>
      <w:r w:rsidR="006B4B3B" w:rsidRPr="0052693A">
        <w:rPr>
          <w:szCs w:val="22"/>
        </w:rPr>
        <w:t>n 19%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lo que </w:t>
      </w:r>
      <w:r w:rsidR="007E1B50" w:rsidRPr="0052693A">
        <w:rPr>
          <w:szCs w:val="22"/>
        </w:rPr>
        <w:t>transformó</w:t>
      </w:r>
      <w:r w:rsidR="006B4B3B" w:rsidRPr="0052693A">
        <w:rPr>
          <w:szCs w:val="22"/>
        </w:rPr>
        <w:t xml:space="preserve"> a Honduras</w:t>
      </w:r>
      <w:r w:rsidR="007E1B50" w:rsidRPr="0052693A">
        <w:rPr>
          <w:szCs w:val="22"/>
        </w:rPr>
        <w:t xml:space="preserve"> en</w:t>
      </w:r>
      <w:r w:rsidR="006B4B3B" w:rsidRPr="0052693A">
        <w:rPr>
          <w:szCs w:val="22"/>
        </w:rPr>
        <w:t xml:space="preserve"> el principal exportador de este producto en la región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con ventas por 1.377,3 millones de dólares. También mostraron </w:t>
      </w:r>
      <w:r w:rsidR="007E1B50" w:rsidRPr="0052693A">
        <w:rPr>
          <w:szCs w:val="22"/>
        </w:rPr>
        <w:t xml:space="preserve">notables </w:t>
      </w:r>
      <w:r w:rsidR="006B4B3B" w:rsidRPr="0052693A">
        <w:rPr>
          <w:szCs w:val="22"/>
        </w:rPr>
        <w:t xml:space="preserve">incrementos las ventas de aceite de </w:t>
      </w:r>
      <w:proofErr w:type="gramStart"/>
      <w:r w:rsidR="006B4B3B" w:rsidRPr="0052693A">
        <w:rPr>
          <w:szCs w:val="22"/>
        </w:rPr>
        <w:t>palma</w:t>
      </w:r>
      <w:proofErr w:type="gramEnd"/>
      <w:r w:rsidR="006B4B3B" w:rsidRPr="0052693A">
        <w:rPr>
          <w:szCs w:val="22"/>
        </w:rPr>
        <w:t xml:space="preserve">, banano y camarón cultivado. </w:t>
      </w:r>
      <w:proofErr w:type="gramStart"/>
      <w:r w:rsidR="006B4B3B" w:rsidRPr="0052693A">
        <w:rPr>
          <w:szCs w:val="22"/>
        </w:rPr>
        <w:t>Por su parte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las exportaciones de bienes para la transformación alcanzaron los 3</w:t>
      </w:r>
      <w:r w:rsidR="007E1B50" w:rsidRPr="0052693A">
        <w:rPr>
          <w:szCs w:val="22"/>
        </w:rPr>
        <w:t>.</w:t>
      </w:r>
      <w:r w:rsidR="006B4B3B" w:rsidRPr="0052693A">
        <w:rPr>
          <w:szCs w:val="22"/>
        </w:rPr>
        <w:t xml:space="preserve">290,1 millones </w:t>
      </w:r>
      <w:r w:rsidR="007E1B50" w:rsidRPr="0052693A">
        <w:rPr>
          <w:szCs w:val="22"/>
        </w:rPr>
        <w:t xml:space="preserve">de lempiras, </w:t>
      </w:r>
      <w:r w:rsidR="006B4B3B" w:rsidRPr="0052693A">
        <w:rPr>
          <w:szCs w:val="22"/>
        </w:rPr>
        <w:t xml:space="preserve">frente a </w:t>
      </w:r>
      <w:r w:rsidR="007E1B50" w:rsidRPr="0052693A">
        <w:rPr>
          <w:szCs w:val="22"/>
        </w:rPr>
        <w:t xml:space="preserve">los </w:t>
      </w:r>
      <w:r w:rsidR="006B4B3B" w:rsidRPr="0052693A">
        <w:rPr>
          <w:szCs w:val="22"/>
        </w:rPr>
        <w:t>2.979,1</w:t>
      </w:r>
      <w:r w:rsidR="007E1B50" w:rsidRPr="0052693A">
        <w:rPr>
          <w:szCs w:val="22"/>
        </w:rPr>
        <w:t xml:space="preserve"> millones de lempiras</w:t>
      </w:r>
      <w:r w:rsidR="006B4B3B" w:rsidRPr="0052693A">
        <w:rPr>
          <w:szCs w:val="22"/>
        </w:rPr>
        <w:t xml:space="preserve"> en 2010.</w:t>
      </w:r>
      <w:proofErr w:type="gramEnd"/>
      <w:r w:rsidR="007E1B50" w:rsidRPr="0052693A">
        <w:rPr>
          <w:szCs w:val="22"/>
        </w:rPr>
        <w:t xml:space="preserve"> </w:t>
      </w:r>
      <w:r w:rsidR="006B4B3B" w:rsidRPr="0052693A">
        <w:rPr>
          <w:szCs w:val="22"/>
        </w:rPr>
        <w:t>E</w:t>
      </w:r>
      <w:r w:rsidR="007E1B50" w:rsidRPr="0052693A">
        <w:rPr>
          <w:szCs w:val="22"/>
        </w:rPr>
        <w:t xml:space="preserve">sto fue consecuencia </w:t>
      </w:r>
      <w:r w:rsidR="006B4B3B" w:rsidRPr="0052693A">
        <w:rPr>
          <w:szCs w:val="22"/>
        </w:rPr>
        <w:t xml:space="preserve">de </w:t>
      </w:r>
      <w:proofErr w:type="gramStart"/>
      <w:r w:rsidR="006B4B3B" w:rsidRPr="0052693A">
        <w:rPr>
          <w:szCs w:val="22"/>
        </w:rPr>
        <w:t>un</w:t>
      </w:r>
      <w:proofErr w:type="gramEnd"/>
      <w:r w:rsidR="006B4B3B" w:rsidRPr="0052693A">
        <w:rPr>
          <w:szCs w:val="22"/>
        </w:rPr>
        <w:t xml:space="preserve"> aumento e</w:t>
      </w:r>
      <w:r w:rsidR="007E1B50" w:rsidRPr="0052693A">
        <w:rPr>
          <w:szCs w:val="22"/>
        </w:rPr>
        <w:t>n</w:t>
      </w:r>
      <w:r w:rsidR="006B4B3B" w:rsidRPr="0052693A">
        <w:rPr>
          <w:szCs w:val="22"/>
        </w:rPr>
        <w:t xml:space="preserve"> las ventas de textiles a los Estados Unidos y de arneses para </w:t>
      </w:r>
      <w:proofErr w:type="spellStart"/>
      <w:r w:rsidR="006B4B3B" w:rsidRPr="0052693A">
        <w:rPr>
          <w:szCs w:val="22"/>
        </w:rPr>
        <w:t>automóviles</w:t>
      </w:r>
      <w:proofErr w:type="spellEnd"/>
      <w:r w:rsidR="006B4B3B" w:rsidRPr="0052693A">
        <w:rPr>
          <w:szCs w:val="22"/>
        </w:rPr>
        <w:t xml:space="preserve"> a </w:t>
      </w:r>
      <w:proofErr w:type="spellStart"/>
      <w:r w:rsidR="006B4B3B" w:rsidRPr="0052693A">
        <w:rPr>
          <w:szCs w:val="22"/>
        </w:rPr>
        <w:t>las</w:t>
      </w:r>
      <w:proofErr w:type="spellEnd"/>
      <w:r w:rsidR="006B4B3B" w:rsidRPr="0052693A">
        <w:rPr>
          <w:szCs w:val="22"/>
        </w:rPr>
        <w:t xml:space="preserve"> </w:t>
      </w:r>
      <w:proofErr w:type="spellStart"/>
      <w:r w:rsidR="007E1B50" w:rsidRPr="0052693A">
        <w:rPr>
          <w:szCs w:val="22"/>
        </w:rPr>
        <w:t>empresas</w:t>
      </w:r>
      <w:proofErr w:type="spellEnd"/>
      <w:r w:rsidR="007E1B50" w:rsidRPr="0052693A">
        <w:rPr>
          <w:szCs w:val="22"/>
        </w:rPr>
        <w:t xml:space="preserve"> </w:t>
      </w:r>
      <w:proofErr w:type="spellStart"/>
      <w:r w:rsidR="006B4B3B" w:rsidRPr="0052693A">
        <w:rPr>
          <w:szCs w:val="22"/>
        </w:rPr>
        <w:t>automotrices</w:t>
      </w:r>
      <w:proofErr w:type="spellEnd"/>
      <w:r w:rsidR="006B4B3B" w:rsidRPr="0052693A">
        <w:rPr>
          <w:szCs w:val="22"/>
        </w:rPr>
        <w:t xml:space="preserve"> de México</w:t>
      </w:r>
      <w:r w:rsidR="007E1B50" w:rsidRPr="0052693A">
        <w:rPr>
          <w:szCs w:val="22"/>
        </w:rPr>
        <w:t>.</w:t>
      </w:r>
    </w:p>
    <w:p w:rsidR="004F7A11" w:rsidRPr="0052693A" w:rsidRDefault="004F7A11" w:rsidP="004A0212">
      <w:pPr>
        <w:rPr>
          <w:szCs w:val="22"/>
        </w:rPr>
      </w:pPr>
    </w:p>
    <w:p w:rsidR="007E1B50" w:rsidRDefault="004F7A11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Las </w:t>
      </w:r>
      <w:proofErr w:type="spellStart"/>
      <w:r w:rsidR="006B4B3B" w:rsidRPr="0052693A">
        <w:rPr>
          <w:szCs w:val="22"/>
        </w:rPr>
        <w:t>importaciones</w:t>
      </w:r>
      <w:proofErr w:type="spellEnd"/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</w:t>
      </w:r>
      <w:proofErr w:type="spellStart"/>
      <w:r w:rsidR="006B4B3B" w:rsidRPr="0052693A">
        <w:rPr>
          <w:szCs w:val="22"/>
        </w:rPr>
        <w:t>por</w:t>
      </w:r>
      <w:proofErr w:type="spellEnd"/>
      <w:r w:rsidR="006B4B3B" w:rsidRPr="0052693A">
        <w:rPr>
          <w:szCs w:val="22"/>
        </w:rPr>
        <w:t xml:space="preserve"> </w:t>
      </w:r>
      <w:proofErr w:type="spellStart"/>
      <w:r w:rsidR="006B4B3B" w:rsidRPr="0052693A">
        <w:rPr>
          <w:szCs w:val="22"/>
        </w:rPr>
        <w:t>su</w:t>
      </w:r>
      <w:proofErr w:type="spellEnd"/>
      <w:r w:rsidR="006B4B3B" w:rsidRPr="0052693A">
        <w:rPr>
          <w:szCs w:val="22"/>
        </w:rPr>
        <w:t xml:space="preserve"> parte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mostraron un crecimiento de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20</w:t>
      </w:r>
      <w:proofErr w:type="gramStart"/>
      <w:r w:rsidR="006B4B3B" w:rsidRPr="0052693A">
        <w:rPr>
          <w:szCs w:val="22"/>
        </w:rPr>
        <w:t>,9</w:t>
      </w:r>
      <w:proofErr w:type="gramEnd"/>
      <w:r w:rsidR="006B4B3B" w:rsidRPr="0052693A">
        <w:rPr>
          <w:szCs w:val="22"/>
        </w:rPr>
        <w:t xml:space="preserve">% respecto </w:t>
      </w:r>
      <w:r w:rsidR="007E1B50" w:rsidRPr="0052693A">
        <w:rPr>
          <w:szCs w:val="22"/>
        </w:rPr>
        <w:t>de</w:t>
      </w:r>
      <w:r w:rsidR="006B4B3B" w:rsidRPr="0052693A">
        <w:rPr>
          <w:szCs w:val="22"/>
        </w:rPr>
        <w:t xml:space="preserve"> 2010 al situarse en 10.337,3 millones de dólares. El mayor aumento se produjo en el rubro combustibles lubricantes y energía eléctrica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que se situó en 2.103,7 millones de dólares</w:t>
      </w:r>
      <w:r w:rsidR="007E1B50" w:rsidRPr="0052693A">
        <w:rPr>
          <w:szCs w:val="22"/>
        </w:rPr>
        <w:t xml:space="preserve"> a causa,</w:t>
      </w:r>
      <w:r w:rsidR="006B4B3B" w:rsidRPr="0052693A">
        <w:rPr>
          <w:szCs w:val="22"/>
        </w:rPr>
        <w:t xml:space="preserve"> principalmente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del aumento de los precios. </w:t>
      </w:r>
      <w:proofErr w:type="gramStart"/>
      <w:r w:rsidR="006B4B3B" w:rsidRPr="0052693A">
        <w:rPr>
          <w:szCs w:val="22"/>
        </w:rPr>
        <w:t xml:space="preserve">También fue importante el </w:t>
      </w:r>
      <w:r w:rsidR="007E1B50" w:rsidRPr="0052693A">
        <w:rPr>
          <w:szCs w:val="22"/>
        </w:rPr>
        <w:t>incremento</w:t>
      </w:r>
      <w:r w:rsidR="006B4B3B" w:rsidRPr="0052693A">
        <w:rPr>
          <w:szCs w:val="22"/>
        </w:rPr>
        <w:t xml:space="preserve"> en la importación de insumos para la industria.</w:t>
      </w:r>
      <w:proofErr w:type="gramEnd"/>
      <w:r w:rsidR="006B4B3B" w:rsidRPr="0052693A">
        <w:rPr>
          <w:szCs w:val="22"/>
        </w:rPr>
        <w:t xml:space="preserve"> Sin embargo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debe resaltarse el aumento </w:t>
      </w:r>
      <w:proofErr w:type="gramStart"/>
      <w:r w:rsidR="006B4B3B" w:rsidRPr="0052693A">
        <w:rPr>
          <w:szCs w:val="22"/>
        </w:rPr>
        <w:t>del</w:t>
      </w:r>
      <w:proofErr w:type="gramEnd"/>
      <w:r w:rsidR="006B4B3B" w:rsidRPr="0052693A">
        <w:rPr>
          <w:szCs w:val="22"/>
        </w:rPr>
        <w:t xml:space="preserve"> 36% en las importaciones de bienes de capital, en particular las de aerogeneradores para los proyectos de energías limpias. </w:t>
      </w:r>
    </w:p>
    <w:p w:rsidR="004F7A11" w:rsidRPr="0052693A" w:rsidRDefault="004F7A11" w:rsidP="004A0212">
      <w:pPr>
        <w:rPr>
          <w:szCs w:val="22"/>
        </w:rPr>
      </w:pPr>
    </w:p>
    <w:p w:rsidR="007E1B50" w:rsidRDefault="00977050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Las </w:t>
      </w:r>
      <w:proofErr w:type="spellStart"/>
      <w:r w:rsidR="006B4B3B" w:rsidRPr="0052693A">
        <w:rPr>
          <w:szCs w:val="22"/>
        </w:rPr>
        <w:t>remesas</w:t>
      </w:r>
      <w:proofErr w:type="spellEnd"/>
      <w:r w:rsidR="006B4B3B" w:rsidRPr="0052693A">
        <w:rPr>
          <w:szCs w:val="22"/>
        </w:rPr>
        <w:t xml:space="preserve"> </w:t>
      </w:r>
      <w:proofErr w:type="spellStart"/>
      <w:r w:rsidR="006B4B3B" w:rsidRPr="0052693A">
        <w:rPr>
          <w:szCs w:val="22"/>
        </w:rPr>
        <w:t>familiares</w:t>
      </w:r>
      <w:proofErr w:type="spellEnd"/>
      <w:r w:rsidR="006B4B3B" w:rsidRPr="0052693A">
        <w:rPr>
          <w:szCs w:val="22"/>
        </w:rPr>
        <w:t xml:space="preserve"> </w:t>
      </w:r>
      <w:proofErr w:type="spellStart"/>
      <w:r w:rsidR="007E1B50" w:rsidRPr="0052693A">
        <w:rPr>
          <w:szCs w:val="22"/>
        </w:rPr>
        <w:t>volvieron</w:t>
      </w:r>
      <w:proofErr w:type="spellEnd"/>
      <w:r w:rsidR="007E1B50" w:rsidRPr="0052693A">
        <w:rPr>
          <w:szCs w:val="22"/>
        </w:rPr>
        <w:t xml:space="preserve"> a</w:t>
      </w:r>
      <w:r w:rsidR="006B4B3B" w:rsidRPr="0052693A">
        <w:rPr>
          <w:szCs w:val="22"/>
        </w:rPr>
        <w:t xml:space="preserve"> mostrar un crecimiento moderado al alcanzar </w:t>
      </w:r>
      <w:r w:rsidR="007E1B50" w:rsidRPr="0052693A">
        <w:rPr>
          <w:szCs w:val="22"/>
        </w:rPr>
        <w:t>los</w:t>
      </w:r>
      <w:r w:rsidR="006B4B3B" w:rsidRPr="0052693A">
        <w:rPr>
          <w:szCs w:val="22"/>
        </w:rPr>
        <w:t xml:space="preserve"> 2.797,6 millones </w:t>
      </w:r>
      <w:r w:rsidR="007E1B50" w:rsidRPr="0052693A">
        <w:rPr>
          <w:szCs w:val="22"/>
        </w:rPr>
        <w:t xml:space="preserve">de dólares y situarse </w:t>
      </w:r>
      <w:r w:rsidR="006B4B3B" w:rsidRPr="0052693A">
        <w:rPr>
          <w:szCs w:val="22"/>
        </w:rPr>
        <w:t>un 7</w:t>
      </w:r>
      <w:proofErr w:type="gramStart"/>
      <w:r w:rsidR="006B4B3B" w:rsidRPr="0052693A">
        <w:rPr>
          <w:szCs w:val="22"/>
        </w:rPr>
        <w:t>,8</w:t>
      </w:r>
      <w:proofErr w:type="gramEnd"/>
      <w:r w:rsidR="006B4B3B" w:rsidRPr="0052693A">
        <w:rPr>
          <w:szCs w:val="22"/>
        </w:rPr>
        <w:t xml:space="preserve">% </w:t>
      </w:r>
      <w:r w:rsidR="007E1B50" w:rsidRPr="0052693A">
        <w:rPr>
          <w:szCs w:val="22"/>
        </w:rPr>
        <w:t xml:space="preserve">por encima de la cifra de </w:t>
      </w:r>
      <w:r w:rsidR="006B4B3B" w:rsidRPr="0052693A">
        <w:rPr>
          <w:szCs w:val="22"/>
        </w:rPr>
        <w:t>2010. Sin embargo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redujeron su participación como porcentaje del PIB al pasar de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16</w:t>
      </w:r>
      <w:proofErr w:type="gramStart"/>
      <w:r w:rsidR="006B4B3B" w:rsidRPr="0052693A">
        <w:rPr>
          <w:szCs w:val="22"/>
        </w:rPr>
        <w:t>,8</w:t>
      </w:r>
      <w:proofErr w:type="gramEnd"/>
      <w:r w:rsidR="006B4B3B" w:rsidRPr="0052693A">
        <w:rPr>
          <w:szCs w:val="22"/>
        </w:rPr>
        <w:t>% en 2010 a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16,1%</w:t>
      </w:r>
      <w:r w:rsidR="007E1B50" w:rsidRPr="0052693A">
        <w:rPr>
          <w:szCs w:val="22"/>
        </w:rPr>
        <w:t xml:space="preserve"> del PIB</w:t>
      </w:r>
      <w:r w:rsidR="006B4B3B" w:rsidRPr="0052693A">
        <w:rPr>
          <w:szCs w:val="22"/>
        </w:rPr>
        <w:t xml:space="preserve"> en 2011. </w:t>
      </w:r>
    </w:p>
    <w:p w:rsidR="00977050" w:rsidRPr="0052693A" w:rsidRDefault="00977050" w:rsidP="004A0212">
      <w:pPr>
        <w:rPr>
          <w:szCs w:val="22"/>
        </w:rPr>
      </w:pPr>
    </w:p>
    <w:p w:rsidR="007E1B50" w:rsidRDefault="00977050" w:rsidP="004A0212">
      <w:pPr>
        <w:rPr>
          <w:szCs w:val="22"/>
        </w:rPr>
      </w:pPr>
      <w:r>
        <w:rPr>
          <w:szCs w:val="22"/>
        </w:rPr>
        <w:tab/>
      </w:r>
      <w:proofErr w:type="spellStart"/>
      <w:r w:rsidR="007E1B50" w:rsidRPr="0052693A">
        <w:rPr>
          <w:szCs w:val="22"/>
        </w:rPr>
        <w:t>Pese</w:t>
      </w:r>
      <w:proofErr w:type="spellEnd"/>
      <w:r w:rsidR="007E1B50" w:rsidRPr="0052693A">
        <w:rPr>
          <w:szCs w:val="22"/>
        </w:rPr>
        <w:t xml:space="preserve"> al</w:t>
      </w:r>
      <w:r w:rsidR="006B4B3B" w:rsidRPr="0052693A">
        <w:rPr>
          <w:szCs w:val="22"/>
        </w:rPr>
        <w:t xml:space="preserve"> </w:t>
      </w:r>
      <w:proofErr w:type="spellStart"/>
      <w:r w:rsidR="007E1B50" w:rsidRPr="0052693A">
        <w:rPr>
          <w:szCs w:val="22"/>
        </w:rPr>
        <w:t>marcado</w:t>
      </w:r>
      <w:proofErr w:type="spellEnd"/>
      <w:r w:rsidR="007E1B50" w:rsidRPr="0052693A">
        <w:rPr>
          <w:szCs w:val="22"/>
        </w:rPr>
        <w:t xml:space="preserve"> </w:t>
      </w:r>
      <w:proofErr w:type="spellStart"/>
      <w:r w:rsidR="007E1B50" w:rsidRPr="0052693A">
        <w:rPr>
          <w:szCs w:val="22"/>
        </w:rPr>
        <w:t>aumento</w:t>
      </w:r>
      <w:proofErr w:type="spellEnd"/>
      <w:r w:rsidR="006B4B3B" w:rsidRPr="0052693A">
        <w:rPr>
          <w:szCs w:val="22"/>
        </w:rPr>
        <w:t xml:space="preserve"> de las exportaciones, el </w:t>
      </w:r>
      <w:r w:rsidR="007E1B50" w:rsidRPr="0052693A">
        <w:rPr>
          <w:szCs w:val="22"/>
        </w:rPr>
        <w:t>incremento</w:t>
      </w:r>
      <w:r w:rsidR="006B4B3B" w:rsidRPr="0052693A">
        <w:rPr>
          <w:szCs w:val="22"/>
        </w:rPr>
        <w:t xml:space="preserve"> de las importaciones y la debilidad en el crecimiento de las remesas incidieron en una ampliación del déficit </w:t>
      </w:r>
      <w:r w:rsidR="007E1B50" w:rsidRPr="0052693A">
        <w:rPr>
          <w:szCs w:val="22"/>
        </w:rPr>
        <w:t>de la</w:t>
      </w:r>
      <w:r w:rsidR="006B4B3B" w:rsidRPr="0052693A">
        <w:rPr>
          <w:szCs w:val="22"/>
        </w:rPr>
        <w:t xml:space="preserve"> cuenta corriente de la balanza de pagos</w:t>
      </w:r>
      <w:r w:rsidR="007E1B50" w:rsidRPr="0052693A">
        <w:rPr>
          <w:szCs w:val="22"/>
        </w:rPr>
        <w:t xml:space="preserve"> </w:t>
      </w:r>
      <w:r w:rsidR="006B4B3B" w:rsidRPr="0052693A">
        <w:rPr>
          <w:szCs w:val="22"/>
        </w:rPr>
        <w:t>a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8,6% del PIB a fines de 2011 (</w:t>
      </w:r>
      <w:r w:rsidR="007E1B50" w:rsidRPr="0052693A">
        <w:rPr>
          <w:szCs w:val="22"/>
        </w:rPr>
        <w:t xml:space="preserve">frente al </w:t>
      </w:r>
      <w:r w:rsidR="006B4B3B" w:rsidRPr="0052693A">
        <w:rPr>
          <w:szCs w:val="22"/>
        </w:rPr>
        <w:t>6,2% en 2010).</w:t>
      </w:r>
    </w:p>
    <w:p w:rsidR="00977050" w:rsidRPr="0052693A" w:rsidRDefault="00977050" w:rsidP="004A0212">
      <w:pPr>
        <w:rPr>
          <w:szCs w:val="22"/>
        </w:rPr>
      </w:pPr>
    </w:p>
    <w:p w:rsidR="007E1B50" w:rsidRDefault="00977050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>La</w:t>
      </w:r>
      <w:r w:rsidR="007E1B50" w:rsidRPr="0052693A">
        <w:rPr>
          <w:szCs w:val="22"/>
        </w:rPr>
        <w:t>s</w:t>
      </w:r>
      <w:r w:rsidR="006B4B3B" w:rsidRPr="0052693A">
        <w:rPr>
          <w:szCs w:val="22"/>
        </w:rPr>
        <w:t xml:space="preserve"> </w:t>
      </w:r>
      <w:proofErr w:type="spellStart"/>
      <w:r w:rsidR="006B4B3B" w:rsidRPr="0052693A">
        <w:rPr>
          <w:szCs w:val="22"/>
        </w:rPr>
        <w:t>mejora</w:t>
      </w:r>
      <w:r w:rsidR="007E1B50" w:rsidRPr="0052693A">
        <w:rPr>
          <w:szCs w:val="22"/>
        </w:rPr>
        <w:t>s</w:t>
      </w:r>
      <w:proofErr w:type="spellEnd"/>
      <w:r w:rsidR="006B4B3B" w:rsidRPr="0052693A">
        <w:rPr>
          <w:szCs w:val="22"/>
        </w:rPr>
        <w:t xml:space="preserve"> en </w:t>
      </w:r>
      <w:proofErr w:type="spellStart"/>
      <w:r w:rsidR="006B4B3B" w:rsidRPr="0052693A">
        <w:rPr>
          <w:szCs w:val="22"/>
        </w:rPr>
        <w:t>las</w:t>
      </w:r>
      <w:proofErr w:type="spellEnd"/>
      <w:r w:rsidR="006B4B3B" w:rsidRPr="0052693A">
        <w:rPr>
          <w:szCs w:val="22"/>
        </w:rPr>
        <w:t xml:space="preserve"> </w:t>
      </w:r>
      <w:proofErr w:type="spellStart"/>
      <w:r w:rsidR="006B4B3B" w:rsidRPr="0052693A">
        <w:rPr>
          <w:szCs w:val="22"/>
        </w:rPr>
        <w:t>condiciones</w:t>
      </w:r>
      <w:proofErr w:type="spellEnd"/>
      <w:r w:rsidR="006B4B3B" w:rsidRPr="0052693A">
        <w:rPr>
          <w:szCs w:val="22"/>
        </w:rPr>
        <w:t xml:space="preserve"> políticas y en la calificación de riesgo país</w:t>
      </w:r>
      <w:r w:rsidR="007E1B50" w:rsidRPr="0052693A">
        <w:rPr>
          <w:szCs w:val="22"/>
        </w:rPr>
        <w:t xml:space="preserve"> incidieron para que la inversión extranjera directa volviera a mostrar un alza significativa al situarse en 1.007,7 millones de dólares (un 5</w:t>
      </w:r>
      <w:proofErr w:type="gramStart"/>
      <w:r w:rsidR="007E1B50" w:rsidRPr="0052693A">
        <w:rPr>
          <w:szCs w:val="22"/>
        </w:rPr>
        <w:t>,8</w:t>
      </w:r>
      <w:proofErr w:type="gramEnd"/>
      <w:r w:rsidR="007E1B50" w:rsidRPr="0052693A">
        <w:rPr>
          <w:szCs w:val="22"/>
        </w:rPr>
        <w:t xml:space="preserve">% del PIB). </w:t>
      </w:r>
      <w:proofErr w:type="gramStart"/>
      <w:r w:rsidR="007E1B50" w:rsidRPr="0052693A">
        <w:rPr>
          <w:szCs w:val="22"/>
        </w:rPr>
        <w:t>Las nuevas inversiones se concentraron sobre todo en el sector de comunicaciones, energía eólica y maquila</w:t>
      </w:r>
      <w:r w:rsidR="007E1B50" w:rsidRPr="0052693A">
        <w:rPr>
          <w:szCs w:val="22"/>
        </w:rPr>
        <w:footnoteReference w:id="1"/>
      </w:r>
      <w:r w:rsidR="006B4B3B" w:rsidRPr="0052693A">
        <w:rPr>
          <w:szCs w:val="22"/>
        </w:rPr>
        <w:t>.</w:t>
      </w:r>
      <w:proofErr w:type="gramEnd"/>
      <w:r w:rsidR="006B4B3B" w:rsidRPr="0052693A">
        <w:rPr>
          <w:szCs w:val="22"/>
        </w:rPr>
        <w:t xml:space="preserve"> </w:t>
      </w:r>
      <w:proofErr w:type="gramStart"/>
      <w:r w:rsidR="007E1B50" w:rsidRPr="0052693A">
        <w:rPr>
          <w:szCs w:val="22"/>
        </w:rPr>
        <w:t>En</w:t>
      </w:r>
      <w:r w:rsidR="006B4B3B" w:rsidRPr="0052693A">
        <w:rPr>
          <w:szCs w:val="22"/>
        </w:rPr>
        <w:t xml:space="preserve"> esta cifra también podría estar incluida alguna repatriación de capital.</w:t>
      </w:r>
      <w:proofErr w:type="gramEnd"/>
      <w:r w:rsidR="006B4B3B" w:rsidRPr="0052693A">
        <w:rPr>
          <w:szCs w:val="22"/>
        </w:rPr>
        <w:t xml:space="preserve"> As</w:t>
      </w:r>
      <w:r w:rsidR="007E1B50" w:rsidRPr="0052693A">
        <w:rPr>
          <w:szCs w:val="22"/>
        </w:rPr>
        <w:t>i</w:t>
      </w:r>
      <w:r w:rsidR="006B4B3B" w:rsidRPr="0052693A">
        <w:rPr>
          <w:szCs w:val="22"/>
        </w:rPr>
        <w:t>mismo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las líneas de crédito del exterior mostraron un resultado neto ligeramente superior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al pasar de 463</w:t>
      </w:r>
      <w:proofErr w:type="gramStart"/>
      <w:r w:rsidR="006B4B3B" w:rsidRPr="0052693A">
        <w:rPr>
          <w:szCs w:val="22"/>
        </w:rPr>
        <w:t>,4</w:t>
      </w:r>
      <w:proofErr w:type="gramEnd"/>
      <w:r w:rsidR="006B4B3B" w:rsidRPr="0052693A">
        <w:rPr>
          <w:szCs w:val="22"/>
        </w:rPr>
        <w:t xml:space="preserve"> millones de dólares en 2010 a 540,1 millones </w:t>
      </w:r>
      <w:r w:rsidR="007E1B50" w:rsidRPr="0052693A">
        <w:rPr>
          <w:szCs w:val="22"/>
        </w:rPr>
        <w:t xml:space="preserve">de dólares </w:t>
      </w:r>
      <w:r w:rsidR="006B4B3B" w:rsidRPr="0052693A">
        <w:rPr>
          <w:szCs w:val="22"/>
        </w:rPr>
        <w:t xml:space="preserve">en 2011. </w:t>
      </w:r>
    </w:p>
    <w:p w:rsidR="00977050" w:rsidRPr="0052693A" w:rsidRDefault="00977050" w:rsidP="004A0212">
      <w:pPr>
        <w:rPr>
          <w:szCs w:val="22"/>
        </w:rPr>
      </w:pPr>
    </w:p>
    <w:p w:rsidR="007E1B50" w:rsidRDefault="00977050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Como resultado de las operaciones de comercio exterior y de la política monetaria y cambiaria al </w:t>
      </w:r>
      <w:r w:rsidR="007E1B50" w:rsidRPr="0052693A">
        <w:rPr>
          <w:szCs w:val="22"/>
        </w:rPr>
        <w:t>término de</w:t>
      </w:r>
      <w:r w:rsidR="006B4B3B" w:rsidRPr="0052693A">
        <w:rPr>
          <w:szCs w:val="22"/>
        </w:rPr>
        <w:t xml:space="preserve"> 2011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las reservas internacionales netas aumentaron 101</w:t>
      </w:r>
      <w:proofErr w:type="gramStart"/>
      <w:r w:rsidR="006B4B3B" w:rsidRPr="0052693A">
        <w:rPr>
          <w:szCs w:val="22"/>
        </w:rPr>
        <w:t>,4</w:t>
      </w:r>
      <w:proofErr w:type="gramEnd"/>
      <w:r w:rsidR="006B4B3B" w:rsidRPr="0052693A">
        <w:rPr>
          <w:szCs w:val="22"/>
        </w:rPr>
        <w:t xml:space="preserve"> millones de dólares </w:t>
      </w:r>
      <w:r w:rsidR="007E1B50" w:rsidRPr="0052693A">
        <w:rPr>
          <w:szCs w:val="22"/>
        </w:rPr>
        <w:t xml:space="preserve">con </w:t>
      </w:r>
      <w:proofErr w:type="spellStart"/>
      <w:r w:rsidR="006B4B3B" w:rsidRPr="0052693A">
        <w:rPr>
          <w:szCs w:val="22"/>
        </w:rPr>
        <w:t>respecto</w:t>
      </w:r>
      <w:proofErr w:type="spellEnd"/>
      <w:r w:rsidR="006B4B3B" w:rsidRPr="0052693A">
        <w:rPr>
          <w:szCs w:val="22"/>
        </w:rPr>
        <w:t xml:space="preserve"> al </w:t>
      </w:r>
      <w:proofErr w:type="spellStart"/>
      <w:r w:rsidR="006B4B3B" w:rsidRPr="0052693A">
        <w:rPr>
          <w:szCs w:val="22"/>
        </w:rPr>
        <w:t>cierre</w:t>
      </w:r>
      <w:proofErr w:type="spellEnd"/>
      <w:r w:rsidR="006B4B3B" w:rsidRPr="0052693A">
        <w:rPr>
          <w:szCs w:val="22"/>
        </w:rPr>
        <w:t xml:space="preserve"> de 2010.</w:t>
      </w:r>
    </w:p>
    <w:p w:rsidR="00977050" w:rsidRDefault="00977050" w:rsidP="004A0212">
      <w:pPr>
        <w:rPr>
          <w:szCs w:val="22"/>
        </w:rPr>
      </w:pPr>
    </w:p>
    <w:p w:rsidR="00977050" w:rsidRPr="0052693A" w:rsidRDefault="00977050" w:rsidP="004A0212">
      <w:pPr>
        <w:rPr>
          <w:szCs w:val="22"/>
        </w:rPr>
      </w:pPr>
      <w:r>
        <w:rPr>
          <w:szCs w:val="22"/>
        </w:rPr>
        <w:br w:type="page"/>
      </w:r>
    </w:p>
    <w:p w:rsidR="007E1B50" w:rsidRDefault="00977050" w:rsidP="00977050">
      <w:pPr>
        <w:jc w:val="center"/>
        <w:rPr>
          <w:b/>
          <w:szCs w:val="22"/>
        </w:rPr>
      </w:pPr>
      <w:r w:rsidRPr="00977050">
        <w:rPr>
          <w:b/>
          <w:szCs w:val="22"/>
        </w:rPr>
        <w:t xml:space="preserve">4. </w:t>
      </w:r>
      <w:proofErr w:type="spellStart"/>
      <w:r w:rsidR="006B4B3B" w:rsidRPr="00977050">
        <w:rPr>
          <w:b/>
          <w:szCs w:val="22"/>
        </w:rPr>
        <w:t>Rasgos</w:t>
      </w:r>
      <w:proofErr w:type="spellEnd"/>
      <w:r w:rsidR="006B4B3B" w:rsidRPr="00977050">
        <w:rPr>
          <w:b/>
          <w:szCs w:val="22"/>
        </w:rPr>
        <w:t xml:space="preserve"> </w:t>
      </w:r>
      <w:proofErr w:type="spellStart"/>
      <w:r w:rsidR="006B4B3B" w:rsidRPr="00977050">
        <w:rPr>
          <w:b/>
          <w:szCs w:val="22"/>
        </w:rPr>
        <w:t>principales</w:t>
      </w:r>
      <w:proofErr w:type="spellEnd"/>
      <w:r w:rsidR="006B4B3B" w:rsidRPr="00977050">
        <w:rPr>
          <w:b/>
          <w:szCs w:val="22"/>
        </w:rPr>
        <w:t xml:space="preserve"> </w:t>
      </w:r>
      <w:proofErr w:type="gramStart"/>
      <w:r w:rsidR="006B4B3B" w:rsidRPr="00977050">
        <w:rPr>
          <w:b/>
          <w:szCs w:val="22"/>
        </w:rPr>
        <w:t>del</w:t>
      </w:r>
      <w:proofErr w:type="gramEnd"/>
      <w:r w:rsidR="006B4B3B" w:rsidRPr="00977050">
        <w:rPr>
          <w:b/>
          <w:szCs w:val="22"/>
        </w:rPr>
        <w:t xml:space="preserve"> primer </w:t>
      </w:r>
      <w:proofErr w:type="spellStart"/>
      <w:r w:rsidR="006B4B3B" w:rsidRPr="00977050">
        <w:rPr>
          <w:b/>
          <w:szCs w:val="22"/>
        </w:rPr>
        <w:t>trimestre</w:t>
      </w:r>
      <w:proofErr w:type="spellEnd"/>
      <w:r w:rsidR="006B4B3B" w:rsidRPr="00977050">
        <w:rPr>
          <w:b/>
          <w:szCs w:val="22"/>
        </w:rPr>
        <w:t xml:space="preserve"> de 2012</w:t>
      </w:r>
    </w:p>
    <w:p w:rsidR="00977050" w:rsidRPr="00977050" w:rsidRDefault="00977050" w:rsidP="00977050">
      <w:pPr>
        <w:jc w:val="center"/>
        <w:rPr>
          <w:b/>
          <w:szCs w:val="22"/>
        </w:rPr>
      </w:pPr>
    </w:p>
    <w:p w:rsidR="007E1B50" w:rsidRDefault="006B4B3B" w:rsidP="004A0212">
      <w:pPr>
        <w:rPr>
          <w:szCs w:val="22"/>
        </w:rPr>
      </w:pPr>
      <w:r w:rsidRPr="0052693A">
        <w:rPr>
          <w:szCs w:val="22"/>
        </w:rPr>
        <w:t xml:space="preserve">La CEPAL estima que la economía </w:t>
      </w:r>
      <w:r w:rsidR="007E1B50" w:rsidRPr="0052693A">
        <w:rPr>
          <w:szCs w:val="22"/>
        </w:rPr>
        <w:t>h</w:t>
      </w:r>
      <w:r w:rsidRPr="0052693A">
        <w:rPr>
          <w:szCs w:val="22"/>
        </w:rPr>
        <w:t xml:space="preserve">ondureña podría crecer un 3,2% en 2012 ante los esfuerzos del </w:t>
      </w:r>
      <w:r w:rsidR="007E1B50" w:rsidRPr="0052693A">
        <w:rPr>
          <w:szCs w:val="22"/>
        </w:rPr>
        <w:t>b</w:t>
      </w:r>
      <w:r w:rsidRPr="0052693A">
        <w:rPr>
          <w:szCs w:val="22"/>
        </w:rPr>
        <w:t xml:space="preserve">anco </w:t>
      </w:r>
      <w:r w:rsidR="007E1B50" w:rsidRPr="0052693A">
        <w:rPr>
          <w:szCs w:val="22"/>
        </w:rPr>
        <w:t>c</w:t>
      </w:r>
      <w:r w:rsidRPr="0052693A">
        <w:rPr>
          <w:szCs w:val="22"/>
        </w:rPr>
        <w:t xml:space="preserve">entral por mantener la estabilidad y una posible reducción de la demanda externa en el segundo semestre del </w:t>
      </w:r>
      <w:r w:rsidR="007E1B50" w:rsidRPr="0052693A">
        <w:rPr>
          <w:szCs w:val="22"/>
        </w:rPr>
        <w:t>año</w:t>
      </w:r>
      <w:r w:rsidRPr="0052693A">
        <w:rPr>
          <w:szCs w:val="22"/>
        </w:rPr>
        <w:t xml:space="preserve">. La </w:t>
      </w:r>
      <w:r w:rsidR="007E1B50" w:rsidRPr="0052693A">
        <w:rPr>
          <w:szCs w:val="22"/>
        </w:rPr>
        <w:t>a</w:t>
      </w:r>
      <w:r w:rsidRPr="0052693A">
        <w:rPr>
          <w:szCs w:val="22"/>
        </w:rPr>
        <w:t xml:space="preserve">utoridad </w:t>
      </w:r>
      <w:r w:rsidR="007E1B50" w:rsidRPr="0052693A">
        <w:rPr>
          <w:szCs w:val="22"/>
        </w:rPr>
        <w:t>m</w:t>
      </w:r>
      <w:r w:rsidRPr="0052693A">
        <w:rPr>
          <w:szCs w:val="22"/>
        </w:rPr>
        <w:t>onetaria fijó la meta de inflación para 2012 en un rango de</w:t>
      </w:r>
      <w:r w:rsidR="007E1B50" w:rsidRPr="0052693A">
        <w:rPr>
          <w:szCs w:val="22"/>
        </w:rPr>
        <w:t>l</w:t>
      </w:r>
      <w:r w:rsidRPr="0052693A">
        <w:rPr>
          <w:szCs w:val="22"/>
        </w:rPr>
        <w:t xml:space="preserve"> 6</w:t>
      </w:r>
      <w:proofErr w:type="gramStart"/>
      <w:r w:rsidRPr="0052693A">
        <w:rPr>
          <w:szCs w:val="22"/>
        </w:rPr>
        <w:t>,5</w:t>
      </w:r>
      <w:proofErr w:type="gramEnd"/>
      <w:r w:rsidRPr="0052693A">
        <w:rPr>
          <w:szCs w:val="22"/>
        </w:rPr>
        <w:t>%</w:t>
      </w:r>
      <w:r w:rsidR="007E1B50" w:rsidRPr="0052693A">
        <w:rPr>
          <w:szCs w:val="22"/>
        </w:rPr>
        <w:t xml:space="preserve"> (</w:t>
      </w:r>
      <w:r w:rsidRPr="0052693A">
        <w:rPr>
          <w:szCs w:val="22"/>
        </w:rPr>
        <w:t>+</w:t>
      </w:r>
      <w:r w:rsidR="007E1B50" w:rsidRPr="0052693A">
        <w:rPr>
          <w:szCs w:val="22"/>
        </w:rPr>
        <w:t>/</w:t>
      </w:r>
      <w:r w:rsidRPr="0052693A">
        <w:rPr>
          <w:szCs w:val="22"/>
        </w:rPr>
        <w:t>-</w:t>
      </w:r>
      <w:r w:rsidR="007E1B50" w:rsidRPr="0052693A">
        <w:rPr>
          <w:szCs w:val="22"/>
        </w:rPr>
        <w:t xml:space="preserve"> </w:t>
      </w:r>
      <w:r w:rsidRPr="0052693A">
        <w:rPr>
          <w:szCs w:val="22"/>
        </w:rPr>
        <w:t>1</w:t>
      </w:r>
      <w:r w:rsidR="007E1B50" w:rsidRPr="0052693A">
        <w:rPr>
          <w:szCs w:val="22"/>
        </w:rPr>
        <w:t xml:space="preserve"> </w:t>
      </w:r>
      <w:proofErr w:type="spellStart"/>
      <w:r w:rsidRPr="0052693A">
        <w:rPr>
          <w:szCs w:val="22"/>
        </w:rPr>
        <w:t>p</w:t>
      </w:r>
      <w:r w:rsidR="007E1B50" w:rsidRPr="0052693A">
        <w:rPr>
          <w:szCs w:val="22"/>
        </w:rPr>
        <w:t>unto</w:t>
      </w:r>
      <w:proofErr w:type="spellEnd"/>
      <w:r w:rsidR="007E1B50" w:rsidRPr="0052693A">
        <w:rPr>
          <w:szCs w:val="22"/>
        </w:rPr>
        <w:t xml:space="preserve"> </w:t>
      </w:r>
      <w:proofErr w:type="spellStart"/>
      <w:r w:rsidRPr="0052693A">
        <w:rPr>
          <w:szCs w:val="22"/>
        </w:rPr>
        <w:t>p</w:t>
      </w:r>
      <w:r w:rsidR="007E1B50" w:rsidRPr="0052693A">
        <w:rPr>
          <w:szCs w:val="22"/>
        </w:rPr>
        <w:t>orcentual</w:t>
      </w:r>
      <w:proofErr w:type="spellEnd"/>
      <w:r w:rsidRPr="0052693A">
        <w:rPr>
          <w:szCs w:val="22"/>
        </w:rPr>
        <w:t>).</w:t>
      </w:r>
    </w:p>
    <w:p w:rsidR="00977050" w:rsidRPr="0052693A" w:rsidRDefault="00977050" w:rsidP="004A0212">
      <w:pPr>
        <w:rPr>
          <w:szCs w:val="22"/>
        </w:rPr>
      </w:pPr>
    </w:p>
    <w:p w:rsidR="007E1B50" w:rsidRDefault="00977050" w:rsidP="004A0212">
      <w:pPr>
        <w:rPr>
          <w:szCs w:val="22"/>
        </w:rPr>
      </w:pPr>
      <w:r>
        <w:rPr>
          <w:szCs w:val="22"/>
        </w:rPr>
        <w:tab/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a inflación interanual a fines de marzo se situó en </w:t>
      </w:r>
      <w:r w:rsidR="007E1B50" w:rsidRPr="0052693A">
        <w:rPr>
          <w:szCs w:val="22"/>
        </w:rPr>
        <w:t xml:space="preserve">un </w:t>
      </w:r>
      <w:r w:rsidR="006B4B3B" w:rsidRPr="0052693A">
        <w:rPr>
          <w:szCs w:val="22"/>
        </w:rPr>
        <w:t>5</w:t>
      </w:r>
      <w:proofErr w:type="gramStart"/>
      <w:r w:rsidR="006B4B3B" w:rsidRPr="0052693A">
        <w:rPr>
          <w:szCs w:val="22"/>
        </w:rPr>
        <w:t>,7</w:t>
      </w:r>
      <w:proofErr w:type="gramEnd"/>
      <w:r w:rsidR="006B4B3B" w:rsidRPr="0052693A">
        <w:rPr>
          <w:szCs w:val="22"/>
        </w:rPr>
        <w:t>%, con una tasa acumulada en el año del 3,1%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lo que generaba expectativas negativas en cuanto al cumplimiento de la meta para esta variable a fines de 2012.</w:t>
      </w:r>
    </w:p>
    <w:p w:rsidR="00977050" w:rsidRPr="0052693A" w:rsidRDefault="00977050" w:rsidP="004A0212">
      <w:pPr>
        <w:rPr>
          <w:szCs w:val="22"/>
        </w:rPr>
      </w:pPr>
    </w:p>
    <w:p w:rsidR="007E1B50" w:rsidRDefault="00977050" w:rsidP="004A0212">
      <w:pPr>
        <w:rPr>
          <w:szCs w:val="22"/>
        </w:rPr>
      </w:pPr>
      <w:r>
        <w:rPr>
          <w:szCs w:val="22"/>
        </w:rPr>
        <w:tab/>
      </w:r>
      <w:r w:rsidR="006B4B3B" w:rsidRPr="0052693A">
        <w:rPr>
          <w:szCs w:val="22"/>
        </w:rPr>
        <w:t xml:space="preserve">Como </w:t>
      </w:r>
      <w:proofErr w:type="spellStart"/>
      <w:r w:rsidR="006B4B3B" w:rsidRPr="0052693A">
        <w:rPr>
          <w:szCs w:val="22"/>
        </w:rPr>
        <w:t>resultado</w:t>
      </w:r>
      <w:proofErr w:type="spellEnd"/>
      <w:r w:rsidR="006B4B3B" w:rsidRPr="0052693A">
        <w:rPr>
          <w:szCs w:val="22"/>
        </w:rPr>
        <w:t xml:space="preserve"> del </w:t>
      </w:r>
      <w:proofErr w:type="spellStart"/>
      <w:r w:rsidR="006B4B3B" w:rsidRPr="0052693A">
        <w:rPr>
          <w:szCs w:val="22"/>
        </w:rPr>
        <w:t>comportamiento</w:t>
      </w:r>
      <w:proofErr w:type="spellEnd"/>
      <w:r w:rsidR="006B4B3B" w:rsidRPr="0052693A">
        <w:rPr>
          <w:szCs w:val="22"/>
        </w:rPr>
        <w:t xml:space="preserve"> de la tasa de inflación, la Comisión de Operaciones de Mercado Abierto</w:t>
      </w:r>
      <w:r w:rsidR="007E1B50" w:rsidRPr="0052693A">
        <w:rPr>
          <w:szCs w:val="22"/>
        </w:rPr>
        <w:t xml:space="preserve"> (COMA)</w:t>
      </w:r>
      <w:r w:rsidR="006B4B3B" w:rsidRPr="0052693A">
        <w:rPr>
          <w:szCs w:val="22"/>
        </w:rPr>
        <w:t xml:space="preserve"> recomendó al Directorio del </w:t>
      </w:r>
      <w:r w:rsidR="007E1B50" w:rsidRPr="0052693A">
        <w:rPr>
          <w:szCs w:val="22"/>
        </w:rPr>
        <w:t>b</w:t>
      </w:r>
      <w:r w:rsidR="006B4B3B" w:rsidRPr="0052693A">
        <w:rPr>
          <w:szCs w:val="22"/>
        </w:rPr>
        <w:t xml:space="preserve">anco </w:t>
      </w:r>
      <w:r w:rsidR="007E1B50" w:rsidRPr="0052693A">
        <w:rPr>
          <w:szCs w:val="22"/>
        </w:rPr>
        <w:t>c</w:t>
      </w:r>
      <w:r w:rsidR="006B4B3B" w:rsidRPr="0052693A">
        <w:rPr>
          <w:szCs w:val="22"/>
        </w:rPr>
        <w:t xml:space="preserve">entral aumentar la tasa de política monetaria en dos oportunidades. La aprobación de dichos aumentos llevó </w:t>
      </w:r>
      <w:r w:rsidR="007E1B50" w:rsidRPr="0052693A">
        <w:rPr>
          <w:szCs w:val="22"/>
        </w:rPr>
        <w:t>la</w:t>
      </w:r>
      <w:r w:rsidR="006B4B3B" w:rsidRPr="0052693A">
        <w:rPr>
          <w:szCs w:val="22"/>
        </w:rPr>
        <w:t xml:space="preserve"> tasa a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7% a partir </w:t>
      </w:r>
      <w:proofErr w:type="gramStart"/>
      <w:r w:rsidR="006B4B3B" w:rsidRPr="0052693A">
        <w:rPr>
          <w:szCs w:val="22"/>
        </w:rPr>
        <w:t>del</w:t>
      </w:r>
      <w:proofErr w:type="gramEnd"/>
      <w:r w:rsidR="006B4B3B" w:rsidRPr="0052693A">
        <w:rPr>
          <w:szCs w:val="22"/>
        </w:rPr>
        <w:t xml:space="preserve"> 14 de mayo. </w:t>
      </w:r>
      <w:r w:rsidR="007E1B50" w:rsidRPr="0052693A">
        <w:rPr>
          <w:szCs w:val="22"/>
        </w:rPr>
        <w:t xml:space="preserve">Con esta </w:t>
      </w:r>
      <w:r w:rsidR="006B4B3B" w:rsidRPr="0052693A">
        <w:rPr>
          <w:szCs w:val="22"/>
        </w:rPr>
        <w:t xml:space="preserve">decisión </w:t>
      </w:r>
      <w:r w:rsidR="007E1B50" w:rsidRPr="0052693A">
        <w:rPr>
          <w:szCs w:val="22"/>
        </w:rPr>
        <w:t xml:space="preserve">se </w:t>
      </w:r>
      <w:r w:rsidR="006B4B3B" w:rsidRPr="0052693A">
        <w:rPr>
          <w:szCs w:val="22"/>
        </w:rPr>
        <w:t>busc</w:t>
      </w:r>
      <w:r w:rsidR="007E1B50" w:rsidRPr="0052693A">
        <w:rPr>
          <w:szCs w:val="22"/>
        </w:rPr>
        <w:t>ó</w:t>
      </w:r>
      <w:r w:rsidR="006B4B3B" w:rsidRPr="0052693A">
        <w:rPr>
          <w:szCs w:val="22"/>
        </w:rPr>
        <w:t xml:space="preserve"> reducir las presiones inflacionarias generadas por el aumento de la demanda agregada interna y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al mismo tiempo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contribuir a mantener el valor de la </w:t>
      </w:r>
      <w:proofErr w:type="spellStart"/>
      <w:r w:rsidR="006B4B3B" w:rsidRPr="0052693A">
        <w:rPr>
          <w:szCs w:val="22"/>
        </w:rPr>
        <w:t>moneda</w:t>
      </w:r>
      <w:proofErr w:type="spellEnd"/>
      <w:r w:rsidR="006B4B3B" w:rsidRPr="0052693A">
        <w:rPr>
          <w:szCs w:val="22"/>
        </w:rPr>
        <w:t>.</w:t>
      </w:r>
    </w:p>
    <w:p w:rsidR="00977050" w:rsidRPr="0052693A" w:rsidRDefault="00977050" w:rsidP="004A0212">
      <w:pPr>
        <w:rPr>
          <w:szCs w:val="22"/>
        </w:rPr>
      </w:pPr>
    </w:p>
    <w:p w:rsidR="007E1B50" w:rsidRDefault="00977050" w:rsidP="004A0212">
      <w:pPr>
        <w:rPr>
          <w:szCs w:val="22"/>
        </w:rPr>
      </w:pPr>
      <w:r>
        <w:rPr>
          <w:szCs w:val="22"/>
        </w:rPr>
        <w:tab/>
      </w:r>
      <w:proofErr w:type="spellStart"/>
      <w:r w:rsidR="006B4B3B" w:rsidRPr="0052693A">
        <w:rPr>
          <w:szCs w:val="22"/>
        </w:rPr>
        <w:t>Por</w:t>
      </w:r>
      <w:proofErr w:type="spellEnd"/>
      <w:r w:rsidR="006B4B3B" w:rsidRPr="0052693A">
        <w:rPr>
          <w:szCs w:val="22"/>
        </w:rPr>
        <w:t xml:space="preserve"> </w:t>
      </w:r>
      <w:proofErr w:type="spellStart"/>
      <w:r w:rsidR="006B4B3B" w:rsidRPr="0052693A">
        <w:rPr>
          <w:szCs w:val="22"/>
        </w:rPr>
        <w:t>otra</w:t>
      </w:r>
      <w:proofErr w:type="spellEnd"/>
      <w:r w:rsidR="006B4B3B" w:rsidRPr="0052693A">
        <w:rPr>
          <w:szCs w:val="22"/>
        </w:rPr>
        <w:t xml:space="preserve"> parte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</w:t>
      </w:r>
      <w:proofErr w:type="spellStart"/>
      <w:r w:rsidR="006B4B3B" w:rsidRPr="0052693A">
        <w:rPr>
          <w:szCs w:val="22"/>
        </w:rPr>
        <w:t>como</w:t>
      </w:r>
      <w:proofErr w:type="spellEnd"/>
      <w:r w:rsidR="006B4B3B" w:rsidRPr="0052693A">
        <w:rPr>
          <w:szCs w:val="22"/>
        </w:rPr>
        <w:t xml:space="preserve"> resultado de los esfuerzos de estabilización y la desaceleración de la demanda externa prevista para el segundo semestre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el </w:t>
      </w:r>
      <w:r w:rsidR="007E1B50" w:rsidRPr="0052693A">
        <w:rPr>
          <w:szCs w:val="22"/>
        </w:rPr>
        <w:t>b</w:t>
      </w:r>
      <w:r w:rsidR="006B4B3B" w:rsidRPr="0052693A">
        <w:rPr>
          <w:szCs w:val="22"/>
        </w:rPr>
        <w:t xml:space="preserve">anco </w:t>
      </w:r>
      <w:r w:rsidR="007E1B50" w:rsidRPr="0052693A">
        <w:rPr>
          <w:szCs w:val="22"/>
        </w:rPr>
        <w:t>c</w:t>
      </w:r>
      <w:r w:rsidR="006B4B3B" w:rsidRPr="0052693A">
        <w:rPr>
          <w:szCs w:val="22"/>
        </w:rPr>
        <w:t xml:space="preserve">entral estima que el déficit </w:t>
      </w:r>
      <w:r w:rsidR="007E1B50" w:rsidRPr="0052693A">
        <w:rPr>
          <w:szCs w:val="22"/>
        </w:rPr>
        <w:t>de la</w:t>
      </w:r>
      <w:r w:rsidR="006B4B3B" w:rsidRPr="0052693A">
        <w:rPr>
          <w:szCs w:val="22"/>
        </w:rPr>
        <w:t xml:space="preserve"> cuenta corriente de balanza de pagos podría cerrar en un 8,8% del PIB.</w:t>
      </w:r>
    </w:p>
    <w:p w:rsidR="00977050" w:rsidRPr="0052693A" w:rsidRDefault="00977050" w:rsidP="004A0212">
      <w:pPr>
        <w:rPr>
          <w:szCs w:val="22"/>
        </w:rPr>
      </w:pPr>
    </w:p>
    <w:p w:rsidR="007E1B50" w:rsidRDefault="00977050" w:rsidP="004A0212">
      <w:pPr>
        <w:rPr>
          <w:szCs w:val="22"/>
        </w:rPr>
      </w:pPr>
      <w:r>
        <w:rPr>
          <w:szCs w:val="22"/>
        </w:rPr>
        <w:tab/>
      </w:r>
      <w:r w:rsidR="007E1B50" w:rsidRPr="0052693A">
        <w:rPr>
          <w:szCs w:val="22"/>
        </w:rPr>
        <w:t>D</w:t>
      </w:r>
      <w:r w:rsidR="006B4B3B" w:rsidRPr="0052693A">
        <w:rPr>
          <w:szCs w:val="22"/>
        </w:rPr>
        <w:t>urante el primer trimestre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las exportaciones muestran un crecimiento de</w:t>
      </w:r>
      <w:r w:rsidR="007E1B50" w:rsidRPr="0052693A">
        <w:rPr>
          <w:szCs w:val="22"/>
        </w:rPr>
        <w:t>l</w:t>
      </w:r>
      <w:r w:rsidR="006B4B3B" w:rsidRPr="0052693A">
        <w:rPr>
          <w:szCs w:val="22"/>
        </w:rPr>
        <w:t xml:space="preserve"> 13</w:t>
      </w:r>
      <w:proofErr w:type="gramStart"/>
      <w:r w:rsidR="006B4B3B" w:rsidRPr="0052693A">
        <w:rPr>
          <w:szCs w:val="22"/>
        </w:rPr>
        <w:t>,9</w:t>
      </w:r>
      <w:proofErr w:type="gramEnd"/>
      <w:r w:rsidR="006B4B3B" w:rsidRPr="0052693A">
        <w:rPr>
          <w:szCs w:val="22"/>
        </w:rPr>
        <w:t xml:space="preserve">% respecto del </w:t>
      </w:r>
      <w:r w:rsidR="007E1B50" w:rsidRPr="0052693A">
        <w:rPr>
          <w:szCs w:val="22"/>
        </w:rPr>
        <w:t>mismo</w:t>
      </w:r>
      <w:r w:rsidR="006B4B3B" w:rsidRPr="0052693A">
        <w:rPr>
          <w:szCs w:val="22"/>
        </w:rPr>
        <w:t xml:space="preserve"> trimestre de 2011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al alcanzar los 1.299,9 millones </w:t>
      </w:r>
      <w:r w:rsidR="007E1B50" w:rsidRPr="0052693A">
        <w:rPr>
          <w:szCs w:val="22"/>
        </w:rPr>
        <w:t xml:space="preserve">de dólares, </w:t>
      </w:r>
      <w:r w:rsidR="006B4B3B" w:rsidRPr="0052693A">
        <w:rPr>
          <w:szCs w:val="22"/>
        </w:rPr>
        <w:t xml:space="preserve">mientras que las importaciones </w:t>
      </w:r>
      <w:r w:rsidR="007E1B50" w:rsidRPr="0052693A">
        <w:rPr>
          <w:szCs w:val="22"/>
        </w:rPr>
        <w:t xml:space="preserve">llegaron a </w:t>
      </w:r>
      <w:r w:rsidR="006B4B3B" w:rsidRPr="0052693A">
        <w:rPr>
          <w:szCs w:val="22"/>
        </w:rPr>
        <w:t>2.356,4 millones de dólares</w:t>
      </w:r>
      <w:r w:rsidR="007E1B50" w:rsidRPr="0052693A">
        <w:rPr>
          <w:szCs w:val="22"/>
        </w:rPr>
        <w:t>,</w:t>
      </w:r>
      <w:r w:rsidR="006B4B3B" w:rsidRPr="0052693A">
        <w:rPr>
          <w:szCs w:val="22"/>
        </w:rPr>
        <w:t xml:space="preserve"> con lo que el déficit de</w:t>
      </w:r>
      <w:r w:rsidR="007E1B50" w:rsidRPr="0052693A">
        <w:rPr>
          <w:szCs w:val="22"/>
        </w:rPr>
        <w:t xml:space="preserve"> la</w:t>
      </w:r>
      <w:r w:rsidR="006B4B3B" w:rsidRPr="0052693A">
        <w:rPr>
          <w:szCs w:val="22"/>
        </w:rPr>
        <w:t xml:space="preserve"> balanza comercial se situó en 1.056,5 millones de dólares, un 10,9% </w:t>
      </w:r>
      <w:r w:rsidR="007E1B50" w:rsidRPr="0052693A">
        <w:rPr>
          <w:szCs w:val="22"/>
        </w:rPr>
        <w:t>por encima de</w:t>
      </w:r>
      <w:r w:rsidR="006B4B3B" w:rsidRPr="0052693A">
        <w:rPr>
          <w:szCs w:val="22"/>
        </w:rPr>
        <w:t xml:space="preserve"> lo observado en el primer trimestre de 2011. </w:t>
      </w:r>
    </w:p>
    <w:p w:rsidR="00977050" w:rsidRPr="0052693A" w:rsidRDefault="00977050" w:rsidP="004A0212">
      <w:pPr>
        <w:rPr>
          <w:szCs w:val="22"/>
        </w:rPr>
      </w:pPr>
    </w:p>
    <w:p w:rsidR="007E1B50" w:rsidRPr="00977050" w:rsidRDefault="00977050" w:rsidP="004A0212">
      <w:pPr>
        <w:rPr>
          <w:spacing w:val="2"/>
          <w:szCs w:val="22"/>
        </w:rPr>
      </w:pPr>
      <w:r>
        <w:rPr>
          <w:szCs w:val="22"/>
        </w:rPr>
        <w:tab/>
      </w:r>
      <w:r w:rsidR="006B4B3B" w:rsidRPr="00977050">
        <w:rPr>
          <w:spacing w:val="2"/>
          <w:szCs w:val="22"/>
        </w:rPr>
        <w:t xml:space="preserve">En </w:t>
      </w:r>
      <w:r w:rsidR="007E1B50" w:rsidRPr="00977050">
        <w:rPr>
          <w:spacing w:val="2"/>
          <w:szCs w:val="22"/>
        </w:rPr>
        <w:t xml:space="preserve">el </w:t>
      </w:r>
      <w:proofErr w:type="spellStart"/>
      <w:r w:rsidR="007E1B50" w:rsidRPr="00977050">
        <w:rPr>
          <w:spacing w:val="2"/>
          <w:szCs w:val="22"/>
        </w:rPr>
        <w:t>área</w:t>
      </w:r>
      <w:proofErr w:type="spellEnd"/>
      <w:r w:rsidR="006B4B3B" w:rsidRPr="00977050">
        <w:rPr>
          <w:spacing w:val="2"/>
          <w:szCs w:val="22"/>
        </w:rPr>
        <w:t xml:space="preserve"> fiscal se </w:t>
      </w:r>
      <w:proofErr w:type="spellStart"/>
      <w:r w:rsidR="006B4B3B" w:rsidRPr="00977050">
        <w:rPr>
          <w:spacing w:val="2"/>
          <w:szCs w:val="22"/>
        </w:rPr>
        <w:t>esperaría</w:t>
      </w:r>
      <w:proofErr w:type="spellEnd"/>
      <w:r w:rsidR="006B4B3B" w:rsidRPr="00977050">
        <w:rPr>
          <w:spacing w:val="2"/>
          <w:szCs w:val="22"/>
        </w:rPr>
        <w:t xml:space="preserve"> que se retome el esfuerzo por reducir el déficit de la </w:t>
      </w:r>
      <w:r w:rsidR="007E1B50" w:rsidRPr="00977050">
        <w:rPr>
          <w:spacing w:val="2"/>
          <w:szCs w:val="22"/>
        </w:rPr>
        <w:t>a</w:t>
      </w:r>
      <w:r w:rsidR="006B4B3B" w:rsidRPr="00977050">
        <w:rPr>
          <w:spacing w:val="2"/>
          <w:szCs w:val="22"/>
        </w:rPr>
        <w:t xml:space="preserve">dministración </w:t>
      </w:r>
      <w:r w:rsidR="007E1B50" w:rsidRPr="00977050">
        <w:rPr>
          <w:spacing w:val="2"/>
          <w:szCs w:val="22"/>
        </w:rPr>
        <w:t>c</w:t>
      </w:r>
      <w:r w:rsidR="006B4B3B" w:rsidRPr="00977050">
        <w:rPr>
          <w:spacing w:val="2"/>
          <w:szCs w:val="22"/>
        </w:rPr>
        <w:t>entral a un 3</w:t>
      </w:r>
      <w:proofErr w:type="gramStart"/>
      <w:r w:rsidR="006B4B3B" w:rsidRPr="00977050">
        <w:rPr>
          <w:spacing w:val="2"/>
          <w:szCs w:val="22"/>
        </w:rPr>
        <w:t>,7</w:t>
      </w:r>
      <w:proofErr w:type="gramEnd"/>
      <w:r w:rsidR="006B4B3B" w:rsidRPr="00977050">
        <w:rPr>
          <w:spacing w:val="2"/>
          <w:szCs w:val="22"/>
        </w:rPr>
        <w:t>% del PIB como resultado de las negociaciones con el FMI</w:t>
      </w:r>
      <w:r w:rsidR="007E1B50" w:rsidRPr="00977050">
        <w:rPr>
          <w:spacing w:val="2"/>
          <w:szCs w:val="22"/>
        </w:rPr>
        <w:t>,</w:t>
      </w:r>
      <w:r w:rsidR="006B4B3B" w:rsidRPr="00977050">
        <w:rPr>
          <w:spacing w:val="2"/>
          <w:szCs w:val="22"/>
        </w:rPr>
        <w:t xml:space="preserve"> ya que el </w:t>
      </w:r>
      <w:r w:rsidR="007E1B50" w:rsidRPr="00977050">
        <w:rPr>
          <w:spacing w:val="2"/>
          <w:szCs w:val="22"/>
        </w:rPr>
        <w:t>g</w:t>
      </w:r>
      <w:r w:rsidR="006B4B3B" w:rsidRPr="00977050">
        <w:rPr>
          <w:spacing w:val="2"/>
          <w:szCs w:val="22"/>
        </w:rPr>
        <w:t xml:space="preserve">obierno ha manifestado su interés </w:t>
      </w:r>
      <w:r w:rsidR="007E1B50" w:rsidRPr="00977050">
        <w:rPr>
          <w:spacing w:val="2"/>
          <w:szCs w:val="22"/>
        </w:rPr>
        <w:t>de</w:t>
      </w:r>
      <w:r w:rsidR="006B4B3B" w:rsidRPr="00977050">
        <w:rPr>
          <w:spacing w:val="2"/>
          <w:szCs w:val="22"/>
        </w:rPr>
        <w:t xml:space="preserve"> continuar las negociaciones con esta </w:t>
      </w:r>
      <w:r w:rsidR="007E1B50" w:rsidRPr="00977050">
        <w:rPr>
          <w:spacing w:val="2"/>
          <w:szCs w:val="22"/>
        </w:rPr>
        <w:t>i</w:t>
      </w:r>
      <w:r w:rsidR="006B4B3B" w:rsidRPr="00977050">
        <w:rPr>
          <w:spacing w:val="2"/>
          <w:szCs w:val="22"/>
        </w:rPr>
        <w:t>nstitución durante el tercer trimestre de 2012.</w:t>
      </w:r>
    </w:p>
    <w:p w:rsidR="007E1B50" w:rsidRPr="0052693A" w:rsidRDefault="007E1B50" w:rsidP="004A0212">
      <w:pPr>
        <w:rPr>
          <w:szCs w:val="22"/>
        </w:rPr>
      </w:pPr>
    </w:p>
    <w:sectPr w:rsidR="007E1B50" w:rsidRPr="0052693A" w:rsidSect="00400398">
      <w:headerReference w:type="even" r:id="rId7"/>
      <w:headerReference w:type="default" r:id="rId8"/>
      <w:pgSz w:w="12240" w:h="15840" w:code="1"/>
      <w:pgMar w:top="1939" w:right="1440" w:bottom="1440" w:left="1440" w:header="113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09" w:rsidRDefault="00583409">
      <w:r>
        <w:separator/>
      </w:r>
    </w:p>
  </w:endnote>
  <w:endnote w:type="continuationSeparator" w:id="0">
    <w:p w:rsidR="00583409" w:rsidRDefault="00583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09" w:rsidRDefault="00583409">
      <w:r>
        <w:separator/>
      </w:r>
    </w:p>
  </w:footnote>
  <w:footnote w:type="continuationSeparator" w:id="0">
    <w:p w:rsidR="00583409" w:rsidRDefault="00583409">
      <w:r>
        <w:continuationSeparator/>
      </w:r>
    </w:p>
  </w:footnote>
  <w:footnote w:id="1">
    <w:p w:rsidR="00583409" w:rsidRPr="0052693A" w:rsidRDefault="00583409" w:rsidP="0052693A">
      <w:pPr>
        <w:ind w:left="284" w:hanging="284"/>
        <w:rPr>
          <w:sz w:val="20"/>
          <w:szCs w:val="20"/>
        </w:rPr>
      </w:pPr>
      <w:r w:rsidRPr="0052693A">
        <w:rPr>
          <w:sz w:val="20"/>
          <w:szCs w:val="20"/>
          <w:vertAlign w:val="superscript"/>
        </w:rPr>
        <w:footnoteRef/>
      </w:r>
      <w:r w:rsidRPr="0052693A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ab/>
      </w:r>
      <w:r w:rsidRPr="0052693A">
        <w:rPr>
          <w:sz w:val="20"/>
          <w:szCs w:val="20"/>
          <w:lang w:val="es-ES"/>
        </w:rPr>
        <w:t xml:space="preserve">Standard &amp; </w:t>
      </w:r>
      <w:proofErr w:type="spellStart"/>
      <w:r w:rsidRPr="0052693A">
        <w:rPr>
          <w:sz w:val="20"/>
          <w:szCs w:val="20"/>
          <w:lang w:val="es-ES"/>
        </w:rPr>
        <w:t>Poor’s</w:t>
      </w:r>
      <w:proofErr w:type="spellEnd"/>
      <w:r w:rsidRPr="0052693A">
        <w:rPr>
          <w:sz w:val="20"/>
          <w:szCs w:val="20"/>
          <w:lang w:val="es-ES"/>
        </w:rPr>
        <w:t xml:space="preserve"> elevó la calificación de B a B+ en junio de 2011 y la revista </w:t>
      </w:r>
      <w:proofErr w:type="spellStart"/>
      <w:r w:rsidRPr="0052693A">
        <w:rPr>
          <w:sz w:val="20"/>
          <w:szCs w:val="20"/>
          <w:lang w:val="es-ES"/>
        </w:rPr>
        <w:t>Euromoney</w:t>
      </w:r>
      <w:proofErr w:type="spellEnd"/>
      <w:r w:rsidRPr="0052693A">
        <w:rPr>
          <w:sz w:val="20"/>
          <w:szCs w:val="20"/>
          <w:lang w:val="es-ES"/>
        </w:rPr>
        <w:t xml:space="preserve"> informó en su edición de marzo que Honduras subió 34 posiciones en la calificación de riesgo país.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09" w:rsidRDefault="00583409">
    <w:pPr>
      <w:rPr>
        <w:sz w:val="18"/>
        <w:szCs w:val="18"/>
        <w:lang w:val="es-ES"/>
      </w:rPr>
    </w:pPr>
    <w:r>
      <w:rPr>
        <w:sz w:val="18"/>
        <w:szCs w:val="18"/>
        <w:lang w:val="es-ES"/>
      </w:rPr>
      <w:t xml:space="preserve"> </w:t>
    </w:r>
    <w:r w:rsidR="00B935EA">
      <w:rPr>
        <w:sz w:val="18"/>
        <w:szCs w:val="18"/>
        <w:lang w:val="es-ES"/>
      </w:rPr>
      <w:fldChar w:fldCharType="begin"/>
    </w:r>
    <w:r>
      <w:rPr>
        <w:sz w:val="18"/>
        <w:szCs w:val="18"/>
        <w:lang w:val="es-ES"/>
      </w:rPr>
      <w:instrText xml:space="preserve"> PAGE </w:instrText>
    </w:r>
    <w:r w:rsidR="00B935EA">
      <w:rPr>
        <w:sz w:val="18"/>
        <w:szCs w:val="18"/>
        <w:lang w:val="es-ES"/>
      </w:rPr>
      <w:fldChar w:fldCharType="separate"/>
    </w:r>
    <w:r>
      <w:rPr>
        <w:noProof/>
        <w:sz w:val="18"/>
        <w:szCs w:val="18"/>
        <w:lang w:val="es-ES"/>
      </w:rPr>
      <w:t>2</w:t>
    </w:r>
    <w:r w:rsidR="00B935EA">
      <w:rPr>
        <w:sz w:val="18"/>
        <w:szCs w:val="18"/>
        <w:lang w:val="es-ES"/>
      </w:rPr>
      <w:fldChar w:fldCharType="end"/>
    </w:r>
    <w:r>
      <w:rPr>
        <w:sz w:val="18"/>
        <w:szCs w:val="18"/>
        <w:lang w:val="es-ES"/>
      </w:rPr>
      <w:t xml:space="preserve">                                                                                      </w:t>
    </w:r>
    <w:r>
      <w:rPr>
        <w:sz w:val="18"/>
        <w:szCs w:val="18"/>
        <w:lang w:val="es-ES"/>
      </w:rPr>
      <w:tab/>
      <w:t xml:space="preserve">                        Comisión Económica para América Latina y el Caribe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09" w:rsidRPr="00400398" w:rsidRDefault="00B935EA" w:rsidP="00400398">
    <w:pPr>
      <w:jc w:val="center"/>
      <w:rPr>
        <w:sz w:val="24"/>
      </w:rPr>
    </w:pPr>
    <w:fldSimple w:instr=" PAGE   \* MERGEFORMAT ">
      <w:r w:rsidR="009433C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944"/>
    <w:multiLevelType w:val="hybridMultilevel"/>
    <w:tmpl w:val="F6AE35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F321E3"/>
    <w:multiLevelType w:val="hybridMultilevel"/>
    <w:tmpl w:val="5116412C"/>
    <w:lvl w:ilvl="0" w:tplc="5470C66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A4277"/>
    <w:multiLevelType w:val="hybridMultilevel"/>
    <w:tmpl w:val="2D56A21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7947159"/>
    <w:multiLevelType w:val="hybridMultilevel"/>
    <w:tmpl w:val="5AF26338"/>
    <w:lvl w:ilvl="0" w:tplc="027EFE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87F1E"/>
    <w:multiLevelType w:val="hybridMultilevel"/>
    <w:tmpl w:val="C122AC0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230C2E"/>
    <w:multiLevelType w:val="hybridMultilevel"/>
    <w:tmpl w:val="30DEFE26"/>
    <w:lvl w:ilvl="0" w:tplc="367A5A28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AC7E95"/>
    <w:multiLevelType w:val="hybridMultilevel"/>
    <w:tmpl w:val="AA8C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7A7CD3"/>
    <w:multiLevelType w:val="hybridMultilevel"/>
    <w:tmpl w:val="E9B0AF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F930E59"/>
    <w:multiLevelType w:val="hybridMultilevel"/>
    <w:tmpl w:val="B516B0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24364C7"/>
    <w:multiLevelType w:val="hybridMultilevel"/>
    <w:tmpl w:val="0A1E7D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B04B9C"/>
    <w:multiLevelType w:val="hybridMultilevel"/>
    <w:tmpl w:val="8B44598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0664E6"/>
    <w:multiLevelType w:val="hybridMultilevel"/>
    <w:tmpl w:val="C212E810"/>
    <w:lvl w:ilvl="0" w:tplc="9D02C4B4">
      <w:start w:val="3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849AE"/>
    <w:multiLevelType w:val="hybridMultilevel"/>
    <w:tmpl w:val="6D4C9A82"/>
    <w:lvl w:ilvl="0" w:tplc="EDAEF20C">
      <w:start w:val="2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BC6800"/>
    <w:multiLevelType w:val="hybridMultilevel"/>
    <w:tmpl w:val="4A865494"/>
    <w:lvl w:ilvl="0" w:tplc="36D26BF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FF49E3"/>
    <w:multiLevelType w:val="hybridMultilevel"/>
    <w:tmpl w:val="10D4035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1C0AE3"/>
    <w:multiLevelType w:val="hybridMultilevel"/>
    <w:tmpl w:val="03DA0B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B211CC"/>
    <w:multiLevelType w:val="hybridMultilevel"/>
    <w:tmpl w:val="1606519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D81169"/>
    <w:multiLevelType w:val="hybridMultilevel"/>
    <w:tmpl w:val="1EC246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E777D8C"/>
    <w:multiLevelType w:val="hybridMultilevel"/>
    <w:tmpl w:val="253CF3CE"/>
    <w:lvl w:ilvl="0" w:tplc="D97848C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1F43AAC"/>
    <w:multiLevelType w:val="hybridMultilevel"/>
    <w:tmpl w:val="A14670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E34001"/>
    <w:multiLevelType w:val="hybridMultilevel"/>
    <w:tmpl w:val="52FAC3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6443D47"/>
    <w:multiLevelType w:val="hybridMultilevel"/>
    <w:tmpl w:val="234A14A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52763D"/>
    <w:multiLevelType w:val="hybridMultilevel"/>
    <w:tmpl w:val="3A08AB90"/>
    <w:lvl w:ilvl="0" w:tplc="24A401B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B121C94"/>
    <w:multiLevelType w:val="hybridMultilevel"/>
    <w:tmpl w:val="1046A472"/>
    <w:lvl w:ilvl="0" w:tplc="8CB6B7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E5F2E06"/>
    <w:multiLevelType w:val="hybridMultilevel"/>
    <w:tmpl w:val="3EB4C868"/>
    <w:lvl w:ilvl="0" w:tplc="B5E6EAC8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13F7492"/>
    <w:multiLevelType w:val="hybridMultilevel"/>
    <w:tmpl w:val="C7ACA0D0"/>
    <w:lvl w:ilvl="0" w:tplc="D840AAC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693B16"/>
    <w:multiLevelType w:val="hybridMultilevel"/>
    <w:tmpl w:val="133E7D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AB1F64"/>
    <w:multiLevelType w:val="hybridMultilevel"/>
    <w:tmpl w:val="E48EC7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ACC72EF"/>
    <w:multiLevelType w:val="hybridMultilevel"/>
    <w:tmpl w:val="09BE2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F86AA7"/>
    <w:multiLevelType w:val="hybridMultilevel"/>
    <w:tmpl w:val="E7DC85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2F20C5"/>
    <w:multiLevelType w:val="hybridMultilevel"/>
    <w:tmpl w:val="5EC408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0F144E"/>
    <w:multiLevelType w:val="hybridMultilevel"/>
    <w:tmpl w:val="82C406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883389"/>
    <w:multiLevelType w:val="hybridMultilevel"/>
    <w:tmpl w:val="B96629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6D5A5C"/>
    <w:multiLevelType w:val="hybridMultilevel"/>
    <w:tmpl w:val="64E62088"/>
    <w:lvl w:ilvl="0" w:tplc="0FA8E86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440621"/>
    <w:multiLevelType w:val="hybridMultilevel"/>
    <w:tmpl w:val="126C3F3C"/>
    <w:lvl w:ilvl="0" w:tplc="057CD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A3F2148"/>
    <w:multiLevelType w:val="hybridMultilevel"/>
    <w:tmpl w:val="48B6CD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DA00DF"/>
    <w:multiLevelType w:val="hybridMultilevel"/>
    <w:tmpl w:val="4164F8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3A6577"/>
    <w:multiLevelType w:val="hybridMultilevel"/>
    <w:tmpl w:val="8E6E80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5"/>
  </w:num>
  <w:num w:numId="4">
    <w:abstractNumId w:val="0"/>
  </w:num>
  <w:num w:numId="5">
    <w:abstractNumId w:val="20"/>
  </w:num>
  <w:num w:numId="6">
    <w:abstractNumId w:val="15"/>
  </w:num>
  <w:num w:numId="7">
    <w:abstractNumId w:val="19"/>
  </w:num>
  <w:num w:numId="8">
    <w:abstractNumId w:val="17"/>
  </w:num>
  <w:num w:numId="9">
    <w:abstractNumId w:val="14"/>
  </w:num>
  <w:num w:numId="10">
    <w:abstractNumId w:val="28"/>
  </w:num>
  <w:num w:numId="11">
    <w:abstractNumId w:val="26"/>
  </w:num>
  <w:num w:numId="12">
    <w:abstractNumId w:val="31"/>
  </w:num>
  <w:num w:numId="13">
    <w:abstractNumId w:val="37"/>
  </w:num>
  <w:num w:numId="14">
    <w:abstractNumId w:val="21"/>
  </w:num>
  <w:num w:numId="15">
    <w:abstractNumId w:val="13"/>
  </w:num>
  <w:num w:numId="16">
    <w:abstractNumId w:val="4"/>
  </w:num>
  <w:num w:numId="17">
    <w:abstractNumId w:val="16"/>
  </w:num>
  <w:num w:numId="18">
    <w:abstractNumId w:val="36"/>
  </w:num>
  <w:num w:numId="19">
    <w:abstractNumId w:val="29"/>
  </w:num>
  <w:num w:numId="20">
    <w:abstractNumId w:val="30"/>
  </w:num>
  <w:num w:numId="21">
    <w:abstractNumId w:val="9"/>
  </w:num>
  <w:num w:numId="22">
    <w:abstractNumId w:val="6"/>
  </w:num>
  <w:num w:numId="23">
    <w:abstractNumId w:val="32"/>
  </w:num>
  <w:num w:numId="24">
    <w:abstractNumId w:val="34"/>
  </w:num>
  <w:num w:numId="25">
    <w:abstractNumId w:val="5"/>
  </w:num>
  <w:num w:numId="26">
    <w:abstractNumId w:val="11"/>
  </w:num>
  <w:num w:numId="27">
    <w:abstractNumId w:val="12"/>
  </w:num>
  <w:num w:numId="28">
    <w:abstractNumId w:val="3"/>
  </w:num>
  <w:num w:numId="29">
    <w:abstractNumId w:val="8"/>
  </w:num>
  <w:num w:numId="30">
    <w:abstractNumId w:val="3"/>
    <w:lvlOverride w:ilvl="0">
      <w:startOverride w:val="1"/>
    </w:lvlOverride>
  </w:num>
  <w:num w:numId="31">
    <w:abstractNumId w:val="2"/>
  </w:num>
  <w:num w:numId="32">
    <w:abstractNumId w:val="25"/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24"/>
  </w:num>
  <w:num w:numId="36">
    <w:abstractNumId w:val="18"/>
  </w:num>
  <w:num w:numId="37">
    <w:abstractNumId w:val="27"/>
  </w:num>
  <w:num w:numId="38">
    <w:abstractNumId w:val="22"/>
  </w:num>
  <w:num w:numId="39">
    <w:abstractNumId w:val="25"/>
    <w:lvlOverride w:ilvl="0">
      <w:startOverride w:val="3"/>
    </w:lvlOverride>
  </w:num>
  <w:num w:numId="40">
    <w:abstractNumId w:val="23"/>
  </w:num>
  <w:num w:numId="41">
    <w:abstractNumId w:val="33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A8"/>
    <w:rsid w:val="00031825"/>
    <w:rsid w:val="000327AE"/>
    <w:rsid w:val="0003299D"/>
    <w:rsid w:val="000658AD"/>
    <w:rsid w:val="0009563E"/>
    <w:rsid w:val="000A6D80"/>
    <w:rsid w:val="000B571D"/>
    <w:rsid w:val="000B6850"/>
    <w:rsid w:val="000C5619"/>
    <w:rsid w:val="000D23FD"/>
    <w:rsid w:val="000E2A88"/>
    <w:rsid w:val="000F30AB"/>
    <w:rsid w:val="001058AF"/>
    <w:rsid w:val="00111545"/>
    <w:rsid w:val="0015423E"/>
    <w:rsid w:val="00155861"/>
    <w:rsid w:val="001618F5"/>
    <w:rsid w:val="001746DE"/>
    <w:rsid w:val="00176930"/>
    <w:rsid w:val="001E44CF"/>
    <w:rsid w:val="00212612"/>
    <w:rsid w:val="00220031"/>
    <w:rsid w:val="00221EEF"/>
    <w:rsid w:val="0022779E"/>
    <w:rsid w:val="00227DEA"/>
    <w:rsid w:val="0023722D"/>
    <w:rsid w:val="002704F3"/>
    <w:rsid w:val="002A3179"/>
    <w:rsid w:val="002E0138"/>
    <w:rsid w:val="002E4E41"/>
    <w:rsid w:val="00305853"/>
    <w:rsid w:val="0032105C"/>
    <w:rsid w:val="00321C79"/>
    <w:rsid w:val="0032566E"/>
    <w:rsid w:val="0033464E"/>
    <w:rsid w:val="00335131"/>
    <w:rsid w:val="00354D0C"/>
    <w:rsid w:val="0035511A"/>
    <w:rsid w:val="0036273A"/>
    <w:rsid w:val="00387ACE"/>
    <w:rsid w:val="00394AC5"/>
    <w:rsid w:val="003A3344"/>
    <w:rsid w:val="003A3375"/>
    <w:rsid w:val="00400398"/>
    <w:rsid w:val="004111F9"/>
    <w:rsid w:val="00421E96"/>
    <w:rsid w:val="00431355"/>
    <w:rsid w:val="00452D96"/>
    <w:rsid w:val="00455653"/>
    <w:rsid w:val="00455BA1"/>
    <w:rsid w:val="00472C81"/>
    <w:rsid w:val="004920AD"/>
    <w:rsid w:val="004A0212"/>
    <w:rsid w:val="004A4C6B"/>
    <w:rsid w:val="004B61C1"/>
    <w:rsid w:val="004C6322"/>
    <w:rsid w:val="004D1ACB"/>
    <w:rsid w:val="004E5FEE"/>
    <w:rsid w:val="004F4FE1"/>
    <w:rsid w:val="004F7A11"/>
    <w:rsid w:val="0052693A"/>
    <w:rsid w:val="00577647"/>
    <w:rsid w:val="00583409"/>
    <w:rsid w:val="005863A6"/>
    <w:rsid w:val="00596438"/>
    <w:rsid w:val="005A6526"/>
    <w:rsid w:val="005C3CDD"/>
    <w:rsid w:val="005C7A76"/>
    <w:rsid w:val="005E3DC9"/>
    <w:rsid w:val="00656323"/>
    <w:rsid w:val="006602C7"/>
    <w:rsid w:val="006630D2"/>
    <w:rsid w:val="00672BAD"/>
    <w:rsid w:val="006A26AA"/>
    <w:rsid w:val="006A44EB"/>
    <w:rsid w:val="006A4C21"/>
    <w:rsid w:val="006B4B3B"/>
    <w:rsid w:val="006C211A"/>
    <w:rsid w:val="006F61C8"/>
    <w:rsid w:val="006F7A57"/>
    <w:rsid w:val="006F7D76"/>
    <w:rsid w:val="007215CC"/>
    <w:rsid w:val="00733C35"/>
    <w:rsid w:val="00736091"/>
    <w:rsid w:val="00751C89"/>
    <w:rsid w:val="007765E8"/>
    <w:rsid w:val="0079046D"/>
    <w:rsid w:val="007A2A77"/>
    <w:rsid w:val="007A7856"/>
    <w:rsid w:val="007B2A8B"/>
    <w:rsid w:val="007B47A6"/>
    <w:rsid w:val="007D5CE0"/>
    <w:rsid w:val="007E0476"/>
    <w:rsid w:val="007E1B50"/>
    <w:rsid w:val="007E2EE8"/>
    <w:rsid w:val="00803154"/>
    <w:rsid w:val="008359F8"/>
    <w:rsid w:val="008375F1"/>
    <w:rsid w:val="008515AD"/>
    <w:rsid w:val="00871E91"/>
    <w:rsid w:val="008853BB"/>
    <w:rsid w:val="008A3C32"/>
    <w:rsid w:val="008B4BFC"/>
    <w:rsid w:val="008C7680"/>
    <w:rsid w:val="008F05B5"/>
    <w:rsid w:val="009433CA"/>
    <w:rsid w:val="00945E8D"/>
    <w:rsid w:val="009558C3"/>
    <w:rsid w:val="00977050"/>
    <w:rsid w:val="00994FFB"/>
    <w:rsid w:val="00A02304"/>
    <w:rsid w:val="00A1694B"/>
    <w:rsid w:val="00A20340"/>
    <w:rsid w:val="00A37A75"/>
    <w:rsid w:val="00A5191E"/>
    <w:rsid w:val="00A52FDF"/>
    <w:rsid w:val="00A64213"/>
    <w:rsid w:val="00A74F22"/>
    <w:rsid w:val="00A90033"/>
    <w:rsid w:val="00A95309"/>
    <w:rsid w:val="00AB0EAA"/>
    <w:rsid w:val="00AB1B91"/>
    <w:rsid w:val="00AE33A6"/>
    <w:rsid w:val="00AF2DBB"/>
    <w:rsid w:val="00B3503D"/>
    <w:rsid w:val="00B430F3"/>
    <w:rsid w:val="00B667BC"/>
    <w:rsid w:val="00B8034C"/>
    <w:rsid w:val="00B805A8"/>
    <w:rsid w:val="00B935EA"/>
    <w:rsid w:val="00BA34BB"/>
    <w:rsid w:val="00BA77E4"/>
    <w:rsid w:val="00BE4696"/>
    <w:rsid w:val="00C01432"/>
    <w:rsid w:val="00C107EB"/>
    <w:rsid w:val="00C21910"/>
    <w:rsid w:val="00C62689"/>
    <w:rsid w:val="00C67214"/>
    <w:rsid w:val="00C74495"/>
    <w:rsid w:val="00C828C2"/>
    <w:rsid w:val="00C84A42"/>
    <w:rsid w:val="00C950FC"/>
    <w:rsid w:val="00CA2C52"/>
    <w:rsid w:val="00CA51BC"/>
    <w:rsid w:val="00CA56B4"/>
    <w:rsid w:val="00CC26F2"/>
    <w:rsid w:val="00CD33F8"/>
    <w:rsid w:val="00CF75A6"/>
    <w:rsid w:val="00D119E8"/>
    <w:rsid w:val="00D212F8"/>
    <w:rsid w:val="00D320DB"/>
    <w:rsid w:val="00D45B41"/>
    <w:rsid w:val="00D56331"/>
    <w:rsid w:val="00D6466D"/>
    <w:rsid w:val="00D77BA2"/>
    <w:rsid w:val="00D87D2C"/>
    <w:rsid w:val="00DC159F"/>
    <w:rsid w:val="00DC163A"/>
    <w:rsid w:val="00DC2F0D"/>
    <w:rsid w:val="00E071E7"/>
    <w:rsid w:val="00E24A73"/>
    <w:rsid w:val="00E4519A"/>
    <w:rsid w:val="00E53850"/>
    <w:rsid w:val="00E63C85"/>
    <w:rsid w:val="00E77DC2"/>
    <w:rsid w:val="00EA3E40"/>
    <w:rsid w:val="00EB12BD"/>
    <w:rsid w:val="00ED1818"/>
    <w:rsid w:val="00F112C6"/>
    <w:rsid w:val="00F43DB4"/>
    <w:rsid w:val="00F93B34"/>
    <w:rsid w:val="00F974D0"/>
    <w:rsid w:val="00FB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98"/>
    <w:pPr>
      <w:jc w:val="both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B2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A8B"/>
    <w:rPr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B2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A8B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2503</Words>
  <Characters>12746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Barbados</vt:lpstr>
    </vt:vector>
  </TitlesOfParts>
  <Company>CEPAL, Naciones Unidas</Company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</dc:title>
  <dc:subject/>
  <dc:creator> </dc:creator>
  <cp:keywords/>
  <dc:description/>
  <cp:lastModifiedBy>Maria Conte</cp:lastModifiedBy>
  <cp:revision>10</cp:revision>
  <cp:lastPrinted>2012-07-01T21:05:00Z</cp:lastPrinted>
  <dcterms:created xsi:type="dcterms:W3CDTF">2012-07-01T21:51:00Z</dcterms:created>
  <dcterms:modified xsi:type="dcterms:W3CDTF">2012-07-10T15:52:00Z</dcterms:modified>
</cp:coreProperties>
</file>