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422" w:rsidRPr="00C93442" w:rsidRDefault="00145422" w:rsidP="00C93442">
      <w:pPr>
        <w:jc w:val="center"/>
        <w:rPr>
          <w:b/>
        </w:rPr>
      </w:pPr>
      <w:r w:rsidRPr="00C93442">
        <w:rPr>
          <w:b/>
        </w:rPr>
        <w:t>VENEZUELA (REPÚBLICA BOLIVARIANA DE)</w:t>
      </w:r>
    </w:p>
    <w:p w:rsidR="00C93442" w:rsidRDefault="00C93442" w:rsidP="00C93442"/>
    <w:p w:rsidR="00C93442" w:rsidRDefault="00C93442" w:rsidP="00C93442"/>
    <w:p w:rsidR="00145422" w:rsidRPr="00C93442" w:rsidRDefault="00C93442" w:rsidP="00C93442">
      <w:pPr>
        <w:pStyle w:val="ListParagraph"/>
        <w:ind w:left="0"/>
        <w:jc w:val="center"/>
        <w:rPr>
          <w:b/>
        </w:rPr>
      </w:pPr>
      <w:r w:rsidRPr="005A5E46">
        <w:rPr>
          <w:b/>
          <w:szCs w:val="22"/>
          <w:lang w:val="es-ES"/>
        </w:rPr>
        <w:t xml:space="preserve">1. </w:t>
      </w:r>
      <w:r w:rsidR="00145422" w:rsidRPr="00C93442">
        <w:rPr>
          <w:b/>
        </w:rPr>
        <w:t>Rasgos gene</w:t>
      </w:r>
      <w:r w:rsidRPr="00C93442">
        <w:rPr>
          <w:b/>
        </w:rPr>
        <w:t>rales de la evolución reciente</w:t>
      </w:r>
    </w:p>
    <w:p w:rsidR="00C93442" w:rsidRDefault="00C93442" w:rsidP="00C93442"/>
    <w:p w:rsidR="00145422" w:rsidRPr="00F63334" w:rsidRDefault="00145422" w:rsidP="00C93442">
      <w:pPr>
        <w:rPr>
          <w:lang w:val="es-ES"/>
        </w:rPr>
      </w:pPr>
      <w:r w:rsidRPr="00F63334">
        <w:rPr>
          <w:lang w:val="es-ES"/>
        </w:rPr>
        <w:t>En 2011, el PIB de Venezuela (República Bolivariana de) creció un 4,2%, mientras que la inflación se mantuvo elevada y alcanzó el 27,6%. Tanto la política monetaria como la política fiscal fueron expansivas, en un intento por apuntalar la recuperación del crecimiento económico, con el incentivo adicional de que 2012 es un año de elecciones presidenciales. Los elevados precios del petróleo posibilitaron una mejora de la cuenta corriente de la balanza de pagos, lo que, junto con el mayor el endeudamiento, permitió financiar el incremento del gasto público durante el período.</w:t>
      </w:r>
      <w:r w:rsidR="00C93442">
        <w:rPr>
          <w:lang w:val="es-ES"/>
        </w:rPr>
        <w:t xml:space="preserve"> </w:t>
      </w:r>
    </w:p>
    <w:p w:rsidR="00C93442" w:rsidRDefault="00C93442" w:rsidP="00C93442"/>
    <w:p w:rsidR="00C93442" w:rsidRDefault="00C93442" w:rsidP="00C93442"/>
    <w:p w:rsidR="00145422" w:rsidRDefault="00C93442" w:rsidP="00C93442">
      <w:pPr>
        <w:jc w:val="center"/>
        <w:rPr>
          <w:b/>
        </w:rPr>
      </w:pPr>
      <w:r>
        <w:rPr>
          <w:b/>
          <w:szCs w:val="22"/>
          <w:lang w:val="es-ES"/>
        </w:rPr>
        <w:t>2</w:t>
      </w:r>
      <w:r w:rsidRPr="005A5E46">
        <w:rPr>
          <w:b/>
          <w:szCs w:val="22"/>
          <w:lang w:val="es-ES"/>
        </w:rPr>
        <w:t xml:space="preserve">. </w:t>
      </w:r>
      <w:r w:rsidR="00145422" w:rsidRPr="00C93442">
        <w:rPr>
          <w:b/>
        </w:rPr>
        <w:t>La política económica</w:t>
      </w:r>
    </w:p>
    <w:p w:rsidR="00C93442" w:rsidRPr="00C93442" w:rsidRDefault="00C93442" w:rsidP="00C93442">
      <w:pPr>
        <w:jc w:val="center"/>
        <w:rPr>
          <w:b/>
        </w:rPr>
      </w:pPr>
    </w:p>
    <w:p w:rsidR="00145422" w:rsidRPr="00C93442" w:rsidRDefault="00C93442" w:rsidP="00C93442">
      <w:pPr>
        <w:suppressAutoHyphens/>
        <w:rPr>
          <w:rFonts w:eastAsia="SimSun" w:cs="Mangal"/>
          <w:b/>
          <w:szCs w:val="22"/>
          <w:lang w:val="es-ES" w:eastAsia="hi-IN" w:bidi="hi-IN"/>
        </w:rPr>
      </w:pPr>
      <w:r w:rsidRPr="005A5E46">
        <w:rPr>
          <w:rFonts w:cs="TimesNewRomanMTStd"/>
          <w:b/>
          <w:szCs w:val="22"/>
          <w:lang w:val="es-ES"/>
        </w:rPr>
        <w:t>a)</w:t>
      </w:r>
      <w:r>
        <w:rPr>
          <w:rFonts w:cs="TimesNewRomanMTStd"/>
          <w:b/>
          <w:szCs w:val="22"/>
          <w:lang w:val="es-ES"/>
        </w:rPr>
        <w:tab/>
      </w:r>
      <w:r w:rsidR="00145422" w:rsidRPr="00C93442">
        <w:rPr>
          <w:rFonts w:eastAsia="SimSun" w:cs="TimesNewRomanMTStd"/>
          <w:b/>
          <w:szCs w:val="22"/>
          <w:lang w:val="es-ES" w:eastAsia="hi-IN" w:bidi="hi-IN"/>
        </w:rPr>
        <w:t>Política fiscal</w:t>
      </w:r>
      <w:r w:rsidRPr="00C93442">
        <w:rPr>
          <w:rFonts w:eastAsia="SimSun" w:cs="TimesNewRomanMTStd"/>
          <w:b/>
          <w:szCs w:val="22"/>
          <w:lang w:val="es-ES" w:eastAsia="hi-IN" w:bidi="hi-IN"/>
        </w:rPr>
        <w:t xml:space="preserve"> </w:t>
      </w:r>
    </w:p>
    <w:p w:rsidR="00C93442" w:rsidRPr="00C93442" w:rsidRDefault="00C93442" w:rsidP="00C93442">
      <w:pPr>
        <w:pStyle w:val="ListParagraph"/>
        <w:suppressAutoHyphens/>
        <w:ind w:left="1080"/>
        <w:rPr>
          <w:rFonts w:eastAsia="SimSun" w:cs="Mangal"/>
          <w:b/>
          <w:szCs w:val="22"/>
          <w:lang w:val="es-ES" w:eastAsia="hi-IN" w:bidi="hi-IN"/>
        </w:rPr>
      </w:pPr>
    </w:p>
    <w:p w:rsidR="00145422" w:rsidRDefault="00145422" w:rsidP="00C93442">
      <w:pPr>
        <w:ind w:firstLine="720"/>
        <w:rPr>
          <w:lang w:val="es-ES"/>
        </w:rPr>
      </w:pPr>
      <w:r w:rsidRPr="00F63334">
        <w:rPr>
          <w:lang w:val="es-ES"/>
        </w:rPr>
        <w:t>El gobierno central registró un déficit primario del 1,3% del PIB en 2011, lo que representa una mejora respecto del 2% de 2010. A causa del mayor endeudamiento público, sin embargo, el déficit global fue del 3,4%, solo un poco inferior al 3,5% constatado en 2010. Esta mejora se explica debido a que el aumento de los ingresos fue mayor que el aumento del gasto público. Cabe destacar que tanto los gastos como los ingresos públicos se elevaron por encima de la inflación y del aumento del producto bruto. El último dato disponible acerca del sector público restringido es de 2010.</w:t>
      </w:r>
      <w:r w:rsidR="00C93442">
        <w:rPr>
          <w:lang w:val="es-ES"/>
        </w:rPr>
        <w:t xml:space="preserve"> </w:t>
      </w:r>
    </w:p>
    <w:p w:rsidR="00C93442" w:rsidRPr="00F63334" w:rsidRDefault="00C93442" w:rsidP="00C93442">
      <w:pPr>
        <w:ind w:firstLine="720"/>
        <w:rPr>
          <w:lang w:val="es-ES"/>
        </w:rPr>
      </w:pPr>
    </w:p>
    <w:p w:rsidR="00145422" w:rsidRDefault="00145422" w:rsidP="00C93442">
      <w:pPr>
        <w:ind w:firstLine="720"/>
        <w:rPr>
          <w:lang w:val="es-ES"/>
        </w:rPr>
      </w:pPr>
      <w:r w:rsidRPr="00F63334">
        <w:rPr>
          <w:lang w:val="es-ES"/>
        </w:rPr>
        <w:t xml:space="preserve">Los ingresos totales del gobierno central pasaron del 19,5% al 22,7% del PIB entre 2010 y 2011. Los ingresos no petroleros se incrementaron de </w:t>
      </w:r>
      <w:smartTag w:uri="urn:schemas-microsoft-com:office:smarttags" w:element="metricconverter">
        <w:smartTagPr>
          <w:attr w:name="ProductID" w:val="13,5 a"/>
        </w:smartTagPr>
        <w:r w:rsidRPr="00F63334">
          <w:rPr>
            <w:lang w:val="es-ES"/>
          </w:rPr>
          <w:t>13,5 a</w:t>
        </w:r>
      </w:smartTag>
      <w:r w:rsidRPr="00F63334">
        <w:rPr>
          <w:lang w:val="es-ES"/>
        </w:rPr>
        <w:t xml:space="preserve"> 16,7 puntos del PIB entre 2010 y 2011, mientras que los ingresos petroleros se mantuvieron en 6 puntos del PIB. La mejora en los ingresos no petroleros se debió principalmente al aumento de la actividad económica, que repercutió sobre los ingresos por aduanas, IVA e impuesto a la renta. El gasto total y el gasto corriente también aumentaron entre 2010 y 2011: el primero pasó del 23% al 26,1% del PIB y el segundo se elevó del 19,2% al 21,8% del PIB. Los intereses de la deuda pública fueron un componente importante del aumento, mientras que también se incrementaron las remuneraciones y las transferencias de recursos al sector público. El gasto de capital realizado por el gobierno central se incrementó menos (del 2,9% del PIB en 2010 al 3,1% del PIB en 2011). Sobre esto último, cabe destacar que una parte importante del gasto de capital en Venezuela (República Bolivariana de) se realiza con fondos extrapresupuestarios como el Fondo de Desarrollo Nacional (FONDEN), financiado con reservas del banco central y aportes de Petróleos de Venezuela S.A. (PDVSA), y el Fondo conjunto chino-venezolano, financiado con créditos de China. </w:t>
      </w:r>
    </w:p>
    <w:p w:rsidR="00C93442" w:rsidRPr="00F63334" w:rsidRDefault="00C93442" w:rsidP="00C93442">
      <w:pPr>
        <w:ind w:firstLine="720"/>
        <w:rPr>
          <w:lang w:val="es-ES"/>
        </w:rPr>
      </w:pPr>
    </w:p>
    <w:p w:rsidR="00145422" w:rsidRDefault="00145422" w:rsidP="00C93442">
      <w:pPr>
        <w:ind w:firstLine="720"/>
        <w:rPr>
          <w:lang w:val="es-ES"/>
        </w:rPr>
      </w:pPr>
      <w:r w:rsidRPr="00F63334">
        <w:rPr>
          <w:lang w:val="es-ES"/>
        </w:rPr>
        <w:t xml:space="preserve">En 2011 continuó aumentando el endeudamiento público de Venezuela (República Bolivariana de). La deuda pública total aumentó nominalmente un 10,5%, pero se redujo con relación al PIB, ya que pasó del 30% al 25,3% del PIB, medido al tipo de cambio oficial. A diferencia de lo ocurrido en 2010, en 2011 la deuda pública externa aumentó más (17,3%) que la deuda interna (3,2%) medida en dólares. Este endeudamiento se utilizó para financiar el déficit público y para proveer de divisas al sector privado mediante la colocación de bonos denominados en dólares que cotizan en el exterior. Cabe destacar, sin embargo, que las cifras oficiales de endeudamiento no incluyen la deuda que Venezuela (República Bolivariana de) ha contraído con China para alimentar el Fondo conjunto chino-venezolano y que se está pagando con petróleo. </w:t>
      </w:r>
    </w:p>
    <w:p w:rsidR="00C93442" w:rsidRPr="00F63334" w:rsidRDefault="00C93442" w:rsidP="00C93442">
      <w:pPr>
        <w:ind w:firstLine="720"/>
        <w:rPr>
          <w:lang w:val="es-ES"/>
        </w:rPr>
      </w:pPr>
    </w:p>
    <w:p w:rsidR="00F070D5" w:rsidRDefault="00F070D5">
      <w:pPr>
        <w:jc w:val="left"/>
        <w:rPr>
          <w:rFonts w:cs="TimesNewRomanMTStd"/>
          <w:b/>
          <w:szCs w:val="22"/>
          <w:lang w:val="es-ES"/>
        </w:rPr>
      </w:pPr>
      <w:r>
        <w:rPr>
          <w:rFonts w:cs="TimesNewRomanMTStd"/>
          <w:b/>
          <w:szCs w:val="22"/>
          <w:lang w:val="es-ES"/>
        </w:rPr>
        <w:br w:type="page"/>
      </w:r>
    </w:p>
    <w:p w:rsidR="00145422" w:rsidRDefault="00F070D5" w:rsidP="00C93442">
      <w:pPr>
        <w:rPr>
          <w:b/>
        </w:rPr>
      </w:pPr>
      <w:r>
        <w:rPr>
          <w:rFonts w:cs="TimesNewRomanMTStd"/>
          <w:b/>
          <w:szCs w:val="22"/>
          <w:lang w:val="es-ES"/>
        </w:rPr>
        <w:lastRenderedPageBreak/>
        <w:t>b</w:t>
      </w:r>
      <w:r w:rsidRPr="00F070D5">
        <w:rPr>
          <w:rFonts w:cs="TimesNewRomanMTStd"/>
          <w:b/>
          <w:szCs w:val="22"/>
          <w:lang w:val="es-ES"/>
        </w:rPr>
        <w:t>)</w:t>
      </w:r>
      <w:r w:rsidRPr="00F070D5">
        <w:rPr>
          <w:rFonts w:cs="TimesNewRomanMTStd"/>
          <w:b/>
          <w:szCs w:val="22"/>
          <w:lang w:val="es-ES"/>
        </w:rPr>
        <w:tab/>
      </w:r>
      <w:r w:rsidR="00145422" w:rsidRPr="00F070D5">
        <w:rPr>
          <w:b/>
        </w:rPr>
        <w:t>Política monetaria y crediticia</w:t>
      </w:r>
      <w:r w:rsidR="00C93442" w:rsidRPr="00F070D5">
        <w:rPr>
          <w:b/>
        </w:rPr>
        <w:t xml:space="preserve"> </w:t>
      </w:r>
    </w:p>
    <w:p w:rsidR="00F070D5" w:rsidRPr="00F070D5" w:rsidRDefault="00F070D5" w:rsidP="00C93442">
      <w:pPr>
        <w:rPr>
          <w:b/>
        </w:rPr>
      </w:pPr>
    </w:p>
    <w:p w:rsidR="00145422" w:rsidRDefault="00145422" w:rsidP="00F070D5">
      <w:pPr>
        <w:ind w:firstLine="720"/>
        <w:rPr>
          <w:shd w:val="clear" w:color="auto" w:fill="FFFFFF"/>
          <w:lang w:val="es-ES"/>
        </w:rPr>
      </w:pPr>
      <w:r w:rsidRPr="00F63334">
        <w:rPr>
          <w:shd w:val="clear" w:color="auto" w:fill="FFFFFF"/>
          <w:lang w:val="es-ES"/>
        </w:rPr>
        <w:t>En 2011 continuó la instancia expansiva de la política monetaria. El volumen del M1 aumentó un 56,7% entre diciembre de 2010 y diciembre de 2011, en tanto que el M2 creció un 53,6%. Ambos agregados crecieron muy por encima de la inflación.</w:t>
      </w:r>
      <w:r w:rsidR="00C93442">
        <w:rPr>
          <w:shd w:val="clear" w:color="auto" w:fill="FFFFFF"/>
          <w:lang w:val="es-ES"/>
        </w:rPr>
        <w:t xml:space="preserve"> </w:t>
      </w:r>
    </w:p>
    <w:p w:rsidR="00F070D5" w:rsidRPr="00F63334" w:rsidRDefault="00F070D5" w:rsidP="00F070D5">
      <w:pPr>
        <w:ind w:firstLine="720"/>
        <w:rPr>
          <w:shd w:val="clear" w:color="auto" w:fill="FFFFFF"/>
          <w:lang w:val="es-ES"/>
        </w:rPr>
      </w:pPr>
    </w:p>
    <w:p w:rsidR="00145422" w:rsidRDefault="00145422" w:rsidP="00F070D5">
      <w:pPr>
        <w:ind w:firstLine="720"/>
        <w:rPr>
          <w:lang w:val="es-ES"/>
        </w:rPr>
      </w:pPr>
      <w:r w:rsidRPr="00F63334">
        <w:rPr>
          <w:lang w:val="es-ES"/>
        </w:rPr>
        <w:t>Las tasas de interés para las operaciones de absorción se mantuvieron sin cambios durante 2011. Las tasas de interés medias de las operaciones activas de la banca, sin embargo, se redujeron y al final del año se ubicaron en un 16%.</w:t>
      </w:r>
    </w:p>
    <w:p w:rsidR="00F070D5" w:rsidRPr="00F63334" w:rsidRDefault="00F070D5" w:rsidP="00F070D5">
      <w:pPr>
        <w:ind w:firstLine="720"/>
        <w:rPr>
          <w:lang w:val="es-ES"/>
        </w:rPr>
      </w:pPr>
    </w:p>
    <w:p w:rsidR="00145422" w:rsidRDefault="00145422" w:rsidP="00F070D5">
      <w:pPr>
        <w:ind w:firstLine="720"/>
        <w:rPr>
          <w:lang w:val="es-ES"/>
        </w:rPr>
      </w:pPr>
      <w:r w:rsidRPr="00F63334">
        <w:rPr>
          <w:lang w:val="es-ES"/>
        </w:rPr>
        <w:t xml:space="preserve">En 2011 también se registró una marcada aceleración del crédito bancario. El crédito total aumentó un 44,1% y el crédito otorgado por la banca privada fue el responsable de casi tres cuartas partes de dicho aumento. </w:t>
      </w:r>
    </w:p>
    <w:p w:rsidR="00F070D5" w:rsidRPr="00F63334" w:rsidRDefault="00F070D5" w:rsidP="00F070D5">
      <w:pPr>
        <w:ind w:firstLine="720"/>
        <w:rPr>
          <w:lang w:val="es-ES"/>
        </w:rPr>
      </w:pPr>
    </w:p>
    <w:p w:rsidR="00145422" w:rsidRDefault="00F070D5" w:rsidP="00C93442">
      <w:r>
        <w:rPr>
          <w:rFonts w:cs="TimesNewRomanMTStd"/>
          <w:b/>
          <w:szCs w:val="22"/>
          <w:lang w:val="es-ES"/>
        </w:rPr>
        <w:t>c</w:t>
      </w:r>
      <w:r w:rsidRPr="005A5E46">
        <w:rPr>
          <w:rFonts w:cs="TimesNewRomanMTStd"/>
          <w:b/>
          <w:szCs w:val="22"/>
          <w:lang w:val="es-ES"/>
        </w:rPr>
        <w:t>)</w:t>
      </w:r>
      <w:r>
        <w:rPr>
          <w:rFonts w:cs="TimesNewRomanMTStd"/>
          <w:b/>
          <w:szCs w:val="22"/>
          <w:lang w:val="es-ES"/>
        </w:rPr>
        <w:tab/>
      </w:r>
      <w:r w:rsidR="00145422" w:rsidRPr="00F070D5">
        <w:rPr>
          <w:b/>
        </w:rPr>
        <w:t>Política cambiaria</w:t>
      </w:r>
      <w:r w:rsidR="00C93442">
        <w:t xml:space="preserve"> </w:t>
      </w:r>
    </w:p>
    <w:p w:rsidR="00F070D5" w:rsidRPr="00F63334" w:rsidRDefault="00F070D5" w:rsidP="00C93442"/>
    <w:p w:rsidR="00145422" w:rsidRDefault="00145422" w:rsidP="00F070D5">
      <w:pPr>
        <w:ind w:firstLine="720"/>
        <w:rPr>
          <w:lang w:val="es-ES"/>
        </w:rPr>
      </w:pPr>
      <w:r w:rsidRPr="00F63334">
        <w:rPr>
          <w:lang w:val="es-ES"/>
        </w:rPr>
        <w:t>Desde la unificación del tipo de cambio oficial en 4,3 bolívares fuertes por dólar para las divisas obtenidas a través de la Comisión de Administración de Divisas (CADIVI) en enero de 2011, no se han registrado cambios en la paridad cambiaria oficial del país. Asimismo, la paridad implícita del Sistema de Transacciones con Títulos en Moneda Extranjera (SITME), se mantenía en 5,3 bolívares fuertes por dólar hasta abril de 2012. El SITME permite adquirir dólares para operaciones que no acceden a dólares autorizados por la CADIVI. Las liquidaciones de divisas por parte del banco central canalizadas a través de la CADIVI alcanzaron los 36.105 millones de dólares, con lo cual el promedio mensual liquidado se incrementó un 3% respecto de 2010. Por su parte, las divisas negociadas a través del SITME alcanzaron un monto de 8.778 millones de dólares, lo que representa un incremento del 72,8% sobre el valor de 2010. Todo esto contribuyó a explicar el aumento de las importaciones durante el año.</w:t>
      </w:r>
    </w:p>
    <w:p w:rsidR="00F070D5" w:rsidRDefault="00F070D5" w:rsidP="00C93442">
      <w:pPr>
        <w:rPr>
          <w:lang w:val="es-ES"/>
        </w:rPr>
      </w:pPr>
    </w:p>
    <w:p w:rsidR="00145422" w:rsidRDefault="00145422" w:rsidP="00F070D5">
      <w:pPr>
        <w:ind w:firstLine="720"/>
        <w:rPr>
          <w:lang w:val="es-ES"/>
        </w:rPr>
      </w:pPr>
      <w:r w:rsidRPr="00F63334">
        <w:rPr>
          <w:lang w:val="es-ES"/>
        </w:rPr>
        <w:t xml:space="preserve">La elevada inflación acumulada desde la última devaluación del bolívar en enero de </w:t>
      </w:r>
      <w:smartTag w:uri="urn:schemas-microsoft-com:office:smarttags" w:element="metricconverter">
        <w:smartTagPr>
          <w:attr w:name="ProductID" w:val="2010 ha"/>
        </w:smartTagPr>
        <w:r w:rsidRPr="00F63334">
          <w:rPr>
            <w:lang w:val="es-ES"/>
          </w:rPr>
          <w:t>2010 ha</w:t>
        </w:r>
      </w:smartTag>
      <w:r w:rsidRPr="00F63334">
        <w:rPr>
          <w:lang w:val="es-ES"/>
        </w:rPr>
        <w:t xml:space="preserve"> resultado en la continua apreciación real de esta moneda respecto de sus socios comerciales (entre diciembre de 2010 y diciembre de 2011, el tipo de cambio real efectivo total se apreció un 16,6%).</w:t>
      </w:r>
    </w:p>
    <w:p w:rsidR="00F070D5" w:rsidRPr="00F63334" w:rsidRDefault="00F070D5" w:rsidP="00C93442">
      <w:pPr>
        <w:rPr>
          <w:lang w:val="es-ES"/>
        </w:rPr>
      </w:pPr>
    </w:p>
    <w:p w:rsidR="00F070D5" w:rsidRDefault="00F070D5" w:rsidP="00C93442">
      <w:pPr>
        <w:rPr>
          <w:lang w:val="es-ES"/>
        </w:rPr>
      </w:pPr>
    </w:p>
    <w:p w:rsidR="00145422" w:rsidRDefault="00145422" w:rsidP="00F070D5">
      <w:pPr>
        <w:ind w:firstLine="720"/>
        <w:rPr>
          <w:lang w:val="es-ES"/>
        </w:rPr>
      </w:pPr>
      <w:r w:rsidRPr="00F63334">
        <w:rPr>
          <w:lang w:val="es-ES"/>
        </w:rPr>
        <w:t xml:space="preserve">En 2011, el banco central traspasó 3.500 millones de dólares de reservas internacionales al FONDEN, en tanto que en febrero de ese mismo año el gobierno retiró 829 millones de dólares del Fondo de Estabilización Macroeconómica (FEM), con lo cual las reservas internacionales del banco central (incluido el FEM) se ubicaban en 29.892 millones de dólares (9,5% del PIB) en diciembre de 2011, casi el mismo nivel nominal de diciembre de 2010. </w:t>
      </w:r>
    </w:p>
    <w:p w:rsidR="00F070D5" w:rsidRDefault="00F070D5" w:rsidP="00C93442">
      <w:pPr>
        <w:rPr>
          <w:lang w:val="es-ES"/>
        </w:rPr>
      </w:pPr>
    </w:p>
    <w:p w:rsidR="00F070D5" w:rsidRPr="00F63334" w:rsidRDefault="00F070D5" w:rsidP="00C93442">
      <w:pPr>
        <w:rPr>
          <w:lang w:val="es-ES"/>
        </w:rPr>
      </w:pPr>
    </w:p>
    <w:p w:rsidR="00145422" w:rsidRPr="00F63334" w:rsidRDefault="00F070D5" w:rsidP="00F070D5">
      <w:pPr>
        <w:jc w:val="center"/>
      </w:pPr>
      <w:r>
        <w:rPr>
          <w:b/>
          <w:szCs w:val="22"/>
          <w:lang w:val="es-ES"/>
        </w:rPr>
        <w:t>3</w:t>
      </w:r>
      <w:r w:rsidRPr="005A5E46">
        <w:rPr>
          <w:b/>
          <w:szCs w:val="22"/>
          <w:lang w:val="es-ES"/>
        </w:rPr>
        <w:t xml:space="preserve">. </w:t>
      </w:r>
      <w:r w:rsidR="00145422" w:rsidRPr="00F070D5">
        <w:rPr>
          <w:b/>
        </w:rPr>
        <w:t>Evolución de las principales variables</w:t>
      </w:r>
    </w:p>
    <w:p w:rsidR="00F070D5" w:rsidRDefault="00F070D5" w:rsidP="00C93442"/>
    <w:p w:rsidR="00145422" w:rsidRPr="00F070D5" w:rsidRDefault="00F070D5" w:rsidP="00C93442">
      <w:pPr>
        <w:rPr>
          <w:b/>
        </w:rPr>
      </w:pPr>
      <w:r>
        <w:rPr>
          <w:rFonts w:cs="TimesNewRomanMTStd"/>
          <w:b/>
          <w:szCs w:val="22"/>
          <w:lang w:val="es-ES"/>
        </w:rPr>
        <w:t>a</w:t>
      </w:r>
      <w:r w:rsidRPr="005A5E46">
        <w:rPr>
          <w:rFonts w:cs="TimesNewRomanMTStd"/>
          <w:b/>
          <w:szCs w:val="22"/>
          <w:lang w:val="es-ES"/>
        </w:rPr>
        <w:t>)</w:t>
      </w:r>
      <w:r>
        <w:rPr>
          <w:rFonts w:cs="TimesNewRomanMTStd"/>
          <w:b/>
          <w:szCs w:val="22"/>
          <w:lang w:val="es-ES"/>
        </w:rPr>
        <w:tab/>
      </w:r>
      <w:r w:rsidR="00145422" w:rsidRPr="00F070D5">
        <w:rPr>
          <w:b/>
        </w:rPr>
        <w:t>La actividad económica</w:t>
      </w:r>
      <w:r w:rsidR="00C93442" w:rsidRPr="00F070D5">
        <w:rPr>
          <w:b/>
        </w:rPr>
        <w:t xml:space="preserve"> </w:t>
      </w:r>
    </w:p>
    <w:p w:rsidR="00F070D5" w:rsidRDefault="00F070D5" w:rsidP="00C93442">
      <w:pPr>
        <w:rPr>
          <w:lang w:val="es-ES"/>
        </w:rPr>
      </w:pPr>
    </w:p>
    <w:p w:rsidR="00145422" w:rsidRDefault="00145422" w:rsidP="00F070D5">
      <w:pPr>
        <w:ind w:firstLine="720"/>
        <w:rPr>
          <w:lang w:val="es-ES"/>
        </w:rPr>
      </w:pPr>
      <w:r w:rsidRPr="00F63334">
        <w:rPr>
          <w:lang w:val="es-ES"/>
        </w:rPr>
        <w:t xml:space="preserve">La tasa de crecimiento del PIB se aceleró a partir del segundo trimestre de 2011 y alcanzó el 4,9% durante el cuarto trimestre. Así, el PIB creció un 4,2% durante 2011. </w:t>
      </w:r>
    </w:p>
    <w:p w:rsidR="00F070D5" w:rsidRPr="00F63334" w:rsidRDefault="00F070D5" w:rsidP="00C93442">
      <w:pPr>
        <w:rPr>
          <w:lang w:val="es-ES"/>
        </w:rPr>
      </w:pPr>
    </w:p>
    <w:p w:rsidR="00145422" w:rsidRDefault="00145422" w:rsidP="00F070D5">
      <w:pPr>
        <w:ind w:firstLine="720"/>
        <w:rPr>
          <w:lang w:val="es-ES"/>
        </w:rPr>
      </w:pPr>
      <w:r w:rsidRPr="00F63334">
        <w:rPr>
          <w:lang w:val="es-ES"/>
        </w:rPr>
        <w:t xml:space="preserve">Los sectores que explican la mayor parte del crecimiento del PIB durante 2011 son los servicios del gobierno general, el comercio y las manufacturas, con aumentos del 5,5%, el 6,5% y el 3,8%, respectivamente. Por el contrario, la actividad petrolera solo creció un 0,6% durante el año y explica un </w:t>
      </w:r>
      <w:r w:rsidRPr="00F63334">
        <w:rPr>
          <w:lang w:val="es-ES"/>
        </w:rPr>
        <w:lastRenderedPageBreak/>
        <w:t xml:space="preserve">1,7% del crecimiento del PIB. Resalta también el crecimiento del 12% del sector financiero y de seguros durante el año, acompañando el notable aumento del </w:t>
      </w:r>
      <w:r w:rsidRPr="00F070D5">
        <w:rPr>
          <w:lang w:val="es-ES"/>
        </w:rPr>
        <w:t xml:space="preserve">crédito. Por el lado del gasto, el de consumo privado lideró el crecimiento del PIB, con un alza del 4% durante el período. </w:t>
      </w:r>
      <w:r w:rsidR="004050D6" w:rsidRPr="00F070D5">
        <w:rPr>
          <w:lang w:val="es-ES"/>
        </w:rPr>
        <w:t xml:space="preserve">La formación bruta de capital fijo y el gasto de consumo del gobierno, que crecieron un 4,4% y un 5,9% </w:t>
      </w:r>
      <w:r w:rsidRPr="00F070D5">
        <w:rPr>
          <w:lang w:val="es-ES"/>
        </w:rPr>
        <w:t>respectivamente</w:t>
      </w:r>
      <w:r w:rsidRPr="00F63334">
        <w:rPr>
          <w:lang w:val="es-ES"/>
        </w:rPr>
        <w:t>, también apuntalaron el crecimiento del PIB, en tanto que las exportaciones contribuyeron poco al crecimiento, aunque aumentaron un 4,7% desde el bajo nivel registrado en 2010. Cabe destacar que las exportaciones, a precios constantes, alcanzaron en 2010 el nivel más bajo de los últimos 15 años debido al estancamiento de la extracción petrolera, a los problemas con las industrias básicas en Guyana y a la apreciación de la moneda. Por el lado de la oferta agregada, las importaciones aumentaron un 15,4% a precios constantes.</w:t>
      </w:r>
    </w:p>
    <w:p w:rsidR="00F070D5" w:rsidRPr="00F63334" w:rsidRDefault="00F070D5" w:rsidP="00F070D5">
      <w:pPr>
        <w:ind w:firstLine="720"/>
        <w:rPr>
          <w:lang w:val="es-ES"/>
        </w:rPr>
      </w:pPr>
    </w:p>
    <w:p w:rsidR="00145422" w:rsidRPr="00F63334" w:rsidRDefault="00145422" w:rsidP="00F070D5">
      <w:pPr>
        <w:ind w:firstLine="720"/>
        <w:rPr>
          <w:lang w:val="es-ES"/>
        </w:rPr>
      </w:pPr>
      <w:r w:rsidRPr="00F63334">
        <w:rPr>
          <w:lang w:val="es-ES"/>
        </w:rPr>
        <w:t>Según la Organización de Países Exportadores de Petróleo (OPEP), la producción de petróleo de Venezuela (República Bolivariana de) aumentó un 3,9% entre 2009 y 2010</w:t>
      </w:r>
      <w:r w:rsidRPr="00ED55E5">
        <w:rPr>
          <w:vertAlign w:val="superscript"/>
          <w:lang w:val="es-ES"/>
        </w:rPr>
        <w:footnoteReference w:id="1"/>
      </w:r>
      <w:r w:rsidRPr="00F63334">
        <w:rPr>
          <w:lang w:val="es-ES"/>
        </w:rPr>
        <w:t>. A partir de la segunda mitad de 2010 se registró un aumento de la inversión en extracción en el país, en paralelo con el alza de los precios del crudo. La cuenta del número de taladros petroleros de la empresa Baker Hughes muestra un aumento en Venezuela (República Bolivariana de) entre 2010 y 2011, y durante el primer trimestre de 2011 alcanzó el mayor valor registrado desde 2000. Posteriormente, este indicador exhibe un leve descenso y en el primer trimestre de 2012 se ubica al nivel de fines de 2010.</w:t>
      </w:r>
      <w:r w:rsidR="00C93442">
        <w:rPr>
          <w:lang w:val="es-ES"/>
        </w:rPr>
        <w:t xml:space="preserve"> </w:t>
      </w:r>
    </w:p>
    <w:p w:rsidR="00F070D5" w:rsidRDefault="00F070D5" w:rsidP="00C93442"/>
    <w:p w:rsidR="00145422" w:rsidRPr="00F070D5" w:rsidRDefault="00F070D5" w:rsidP="00C93442">
      <w:pPr>
        <w:rPr>
          <w:b/>
        </w:rPr>
      </w:pPr>
      <w:r>
        <w:rPr>
          <w:rFonts w:cs="TimesNewRomanMTStd"/>
          <w:b/>
          <w:szCs w:val="22"/>
          <w:lang w:val="es-ES"/>
        </w:rPr>
        <w:t>b</w:t>
      </w:r>
      <w:r w:rsidRPr="005A5E46">
        <w:rPr>
          <w:rFonts w:cs="TimesNewRomanMTStd"/>
          <w:b/>
          <w:szCs w:val="22"/>
          <w:lang w:val="es-ES"/>
        </w:rPr>
        <w:t>)</w:t>
      </w:r>
      <w:r>
        <w:rPr>
          <w:rFonts w:cs="TimesNewRomanMTStd"/>
          <w:b/>
          <w:szCs w:val="22"/>
          <w:lang w:val="es-ES"/>
        </w:rPr>
        <w:tab/>
      </w:r>
      <w:r w:rsidR="00145422" w:rsidRPr="00F070D5">
        <w:rPr>
          <w:b/>
        </w:rPr>
        <w:t>Los precios, las remuneraciones y el empleo</w:t>
      </w:r>
      <w:r w:rsidR="00C93442" w:rsidRPr="00F070D5">
        <w:rPr>
          <w:b/>
        </w:rPr>
        <w:t xml:space="preserve"> </w:t>
      </w:r>
    </w:p>
    <w:p w:rsidR="00F070D5" w:rsidRPr="00F63334" w:rsidRDefault="00F070D5" w:rsidP="00C93442"/>
    <w:p w:rsidR="00145422" w:rsidRDefault="00145422" w:rsidP="00F070D5">
      <w:pPr>
        <w:ind w:firstLine="720"/>
        <w:rPr>
          <w:lang w:val="es-ES"/>
        </w:rPr>
      </w:pPr>
      <w:r w:rsidRPr="00F63334">
        <w:rPr>
          <w:lang w:val="es-ES"/>
        </w:rPr>
        <w:t xml:space="preserve">Entre diciembre de 2010 y diciembre de 2011, el índice nacional de precios al consumidor (INPC) aumentó un 27,6%. </w:t>
      </w:r>
    </w:p>
    <w:p w:rsidR="00F070D5" w:rsidRPr="00F63334" w:rsidRDefault="00F070D5" w:rsidP="00C93442">
      <w:pPr>
        <w:rPr>
          <w:lang w:val="es-ES"/>
        </w:rPr>
      </w:pPr>
    </w:p>
    <w:p w:rsidR="00145422" w:rsidRPr="00F63334" w:rsidRDefault="00145422" w:rsidP="00F070D5">
      <w:pPr>
        <w:ind w:firstLine="720"/>
        <w:rPr>
          <w:lang w:val="es-ES"/>
        </w:rPr>
      </w:pPr>
      <w:r w:rsidRPr="00F63334">
        <w:rPr>
          <w:lang w:val="es-ES"/>
        </w:rPr>
        <w:t xml:space="preserve">La tasa media de desempleo mostró un leve descenso entre 2010 y 2011, ya que pasó del 8,5% al 8,2%. En promedio, las personas ocupadas aumentaron en alrededor de 230.000 durante el período, en paralelo con el </w:t>
      </w:r>
      <w:r w:rsidRPr="00F070D5">
        <w:rPr>
          <w:lang w:val="es-ES"/>
        </w:rPr>
        <w:t xml:space="preserve">crecimiento de la actividad económica. Sin embargo, en este período también se redujo la tasa de actividad, que pasó del </w:t>
      </w:r>
      <w:r w:rsidR="004050D6" w:rsidRPr="00F070D5">
        <w:rPr>
          <w:lang w:val="es-ES"/>
        </w:rPr>
        <w:t xml:space="preserve">64,8% al 64,5% </w:t>
      </w:r>
      <w:r w:rsidRPr="00F070D5">
        <w:rPr>
          <w:lang w:val="es-ES"/>
        </w:rPr>
        <w:t>de la población</w:t>
      </w:r>
      <w:r w:rsidRPr="00F63334">
        <w:rPr>
          <w:lang w:val="es-ES"/>
        </w:rPr>
        <w:t>, al aumentar la población inactiva.</w:t>
      </w:r>
      <w:r w:rsidR="00C93442">
        <w:rPr>
          <w:lang w:val="es-ES"/>
        </w:rPr>
        <w:t xml:space="preserve"> </w:t>
      </w:r>
    </w:p>
    <w:p w:rsidR="00F070D5" w:rsidRDefault="00F070D5" w:rsidP="00C93442">
      <w:pPr>
        <w:rPr>
          <w:lang w:val="es-ES"/>
        </w:rPr>
      </w:pPr>
    </w:p>
    <w:p w:rsidR="00145422" w:rsidRDefault="00145422" w:rsidP="00F070D5">
      <w:pPr>
        <w:ind w:firstLine="720"/>
        <w:rPr>
          <w:lang w:val="es-ES"/>
        </w:rPr>
      </w:pPr>
      <w:r w:rsidRPr="00F63334">
        <w:rPr>
          <w:lang w:val="es-ES"/>
        </w:rPr>
        <w:t>Las remuneraciones de los trabajadores aumentaron en términos nominales un 38,3% entre el cuatro trimestre de 2010 y e igual</w:t>
      </w:r>
      <w:r w:rsidR="00C93442">
        <w:rPr>
          <w:lang w:val="es-ES"/>
        </w:rPr>
        <w:t xml:space="preserve"> </w:t>
      </w:r>
      <w:r w:rsidRPr="00F63334">
        <w:rPr>
          <w:lang w:val="es-ES"/>
        </w:rPr>
        <w:t xml:space="preserve">trimestre de 2011, lo que representa una mejora en términos reales. Las remuneraciones en el sector privado aumentaron un 29,8%, mientras que en el sector público se elevaron un 58,6%. Esta mejora se explica por el aumento del 25% en los salarios mínimos decretado por el gobierno en 2011, desdoblado en dos partes. </w:t>
      </w:r>
    </w:p>
    <w:p w:rsidR="00F070D5" w:rsidRPr="00F63334" w:rsidRDefault="00F070D5" w:rsidP="00F070D5">
      <w:pPr>
        <w:ind w:firstLine="720"/>
        <w:rPr>
          <w:lang w:val="es-ES"/>
        </w:rPr>
      </w:pPr>
    </w:p>
    <w:p w:rsidR="00145422" w:rsidRPr="00F070D5" w:rsidRDefault="00F070D5" w:rsidP="00C93442">
      <w:pPr>
        <w:rPr>
          <w:b/>
        </w:rPr>
      </w:pPr>
      <w:r>
        <w:rPr>
          <w:rFonts w:cs="TimesNewRomanMTStd"/>
          <w:b/>
          <w:szCs w:val="22"/>
          <w:lang w:val="es-ES"/>
        </w:rPr>
        <w:t>c</w:t>
      </w:r>
      <w:r w:rsidRPr="005A5E46">
        <w:rPr>
          <w:rFonts w:cs="TimesNewRomanMTStd"/>
          <w:b/>
          <w:szCs w:val="22"/>
          <w:lang w:val="es-ES"/>
        </w:rPr>
        <w:t>)</w:t>
      </w:r>
      <w:r>
        <w:rPr>
          <w:rFonts w:cs="TimesNewRomanMTStd"/>
          <w:b/>
          <w:szCs w:val="22"/>
          <w:lang w:val="es-ES"/>
        </w:rPr>
        <w:tab/>
      </w:r>
      <w:r w:rsidR="00145422" w:rsidRPr="00F070D5">
        <w:rPr>
          <w:b/>
        </w:rPr>
        <w:t>El sector externo</w:t>
      </w:r>
      <w:r w:rsidR="00C93442" w:rsidRPr="00F070D5">
        <w:rPr>
          <w:b/>
        </w:rPr>
        <w:t xml:space="preserve"> </w:t>
      </w:r>
    </w:p>
    <w:p w:rsidR="00F070D5" w:rsidRPr="00F63334" w:rsidRDefault="00F070D5" w:rsidP="00C93442"/>
    <w:p w:rsidR="00145422" w:rsidRDefault="00145422" w:rsidP="00F070D5">
      <w:pPr>
        <w:ind w:firstLine="720"/>
        <w:rPr>
          <w:lang w:val="es-ES"/>
        </w:rPr>
      </w:pPr>
      <w:r w:rsidRPr="00F63334">
        <w:rPr>
          <w:lang w:val="es-ES"/>
        </w:rPr>
        <w:t xml:space="preserve">En 2011, el superávit de la cuenta corriente alcanzó el 8,7% del PIB, lo que muestra una mejora respecto del superávit del 5% del PIB registrado en 2010. </w:t>
      </w:r>
    </w:p>
    <w:p w:rsidR="00F070D5" w:rsidRPr="00F63334" w:rsidRDefault="00F070D5" w:rsidP="00F070D5">
      <w:pPr>
        <w:ind w:firstLine="720"/>
        <w:rPr>
          <w:lang w:val="es-ES"/>
        </w:rPr>
      </w:pPr>
    </w:p>
    <w:p w:rsidR="00145422" w:rsidRDefault="00145422" w:rsidP="00F070D5">
      <w:pPr>
        <w:ind w:firstLine="720"/>
        <w:rPr>
          <w:lang w:val="es-ES"/>
        </w:rPr>
      </w:pPr>
      <w:r w:rsidRPr="00F63334">
        <w:rPr>
          <w:lang w:val="es-ES"/>
        </w:rPr>
        <w:t xml:space="preserve">El valor de las exportaciones de bienes aumentó un 40,9% respecto de 2010 y llegó al 29,5% del PIB (frente al 27,4% en 2010). Dicho incremento se debió principalmente al alza del 40,7% en el precio de la cesta venezolana, en promedio, entre 2010 y 2011, mientras que el aumento en volumen del petróleo fue solo del 2,2%. Las exportaciones no petroleras, en tanto, aumentaron un 30,4%. En lo que respecta a las importaciones de bienes, estas crecieron nominalmente </w:t>
      </w:r>
      <w:proofErr w:type="gramStart"/>
      <w:r w:rsidRPr="00F63334">
        <w:rPr>
          <w:lang w:val="es-ES"/>
        </w:rPr>
        <w:t>un 20,3%, apoyadas</w:t>
      </w:r>
      <w:proofErr w:type="gramEnd"/>
      <w:r w:rsidRPr="00F63334">
        <w:rPr>
          <w:lang w:val="es-ES"/>
        </w:rPr>
        <w:t xml:space="preserve"> por el crecimiento de la economía, y pasaron del 16,1% al 14,8% del PIB entre 2010 y 2011. El sector público se ha convertido en un importante importador de bienes, como alimentos y algunos productos intermedios, como resultado de </w:t>
      </w:r>
      <w:r w:rsidRPr="00F63334">
        <w:rPr>
          <w:lang w:val="es-ES"/>
        </w:rPr>
        <w:lastRenderedPageBreak/>
        <w:t xml:space="preserve">la creciente participación del Estado en distintos sectores de la economía en los últimos años. Es así que las importaciones no petroleras del sector público aumentaron un 37,8% durante el año, frente a un alza del 17,8% del sector privado. </w:t>
      </w:r>
    </w:p>
    <w:p w:rsidR="00F070D5" w:rsidRPr="00F63334" w:rsidRDefault="00F070D5" w:rsidP="00F070D5">
      <w:pPr>
        <w:ind w:firstLine="720"/>
        <w:rPr>
          <w:lang w:val="es-ES"/>
        </w:rPr>
      </w:pPr>
    </w:p>
    <w:p w:rsidR="00145422" w:rsidRPr="00F070D5" w:rsidRDefault="00145422" w:rsidP="00F070D5">
      <w:pPr>
        <w:ind w:firstLine="720"/>
        <w:rPr>
          <w:spacing w:val="-2"/>
          <w:lang w:val="es-ES"/>
        </w:rPr>
      </w:pPr>
      <w:r w:rsidRPr="00F070D5">
        <w:rPr>
          <w:spacing w:val="-2"/>
          <w:lang w:val="es-ES"/>
        </w:rPr>
        <w:t>El saldo de la cuenta de capital y financiera se deterioró durante el período, ya que pasó de un déficit del 7,4% del PIB en 2010 a un déficit del 8,8% del PIB en 2011. Este resultado se explica principalmente por el aumento de los activos externos de los sectores público y privado. En particular, durante el período se incrementó el rubro monedas y depósitos del sector público del 1,5% del PIB al 5,3% del PIB, sobre todo por las mayores tenencias de activos líquidos del FONDEN y del Fondo conjunto chino-venezolano. También fueron importantes las adquisiciones de activos externos del sector privado mantenidos en monedas y depósitos, que pasaron del 6,3% del PIB en 2010 al 4,9% del PIB en 2011.</w:t>
      </w:r>
      <w:r w:rsidR="00C93442" w:rsidRPr="00F070D5">
        <w:rPr>
          <w:spacing w:val="-2"/>
          <w:lang w:val="es-ES"/>
        </w:rPr>
        <w:t xml:space="preserve"> </w:t>
      </w:r>
    </w:p>
    <w:p w:rsidR="00F070D5" w:rsidRPr="00F63334" w:rsidRDefault="00F070D5" w:rsidP="00C93442">
      <w:pPr>
        <w:rPr>
          <w:lang w:val="es-ES"/>
        </w:rPr>
      </w:pPr>
    </w:p>
    <w:p w:rsidR="00145422" w:rsidRDefault="00145422" w:rsidP="00F070D5">
      <w:pPr>
        <w:ind w:firstLine="720"/>
        <w:rPr>
          <w:lang w:val="es-ES"/>
        </w:rPr>
      </w:pPr>
      <w:r w:rsidRPr="00F63334">
        <w:rPr>
          <w:lang w:val="es-ES"/>
        </w:rPr>
        <w:t xml:space="preserve">En lo que respecta a las entradas de capital, la inversión extranjera directa neta de la inversión venezolana en el extranjero pasó de un saldo negativo de 0,6% del PIB a un saldo positivo de 1,6% del PIB, entre otras cosas como resultado de la reinversión de utilidades. Por otra parte, los préstamos recibidos del sector público también aumentaron, ubicándose en un 2,5% del PIB en 2011. Esto refleja las crecientes colocaciones de deuda realizadas por el gobierno para financiar tanto su gasto directo como el gasto realizado a través de fondos extrapresupuestarios. Finalmente, los errores y omisiones pasaron del 1% al 1,2% del PIB entre 2010 y 2011. </w:t>
      </w:r>
    </w:p>
    <w:p w:rsidR="00F070D5" w:rsidRPr="00F63334" w:rsidRDefault="00F070D5" w:rsidP="00C93442">
      <w:pPr>
        <w:rPr>
          <w:lang w:val="es-ES"/>
        </w:rPr>
      </w:pPr>
    </w:p>
    <w:p w:rsidR="00145422" w:rsidRDefault="00145422" w:rsidP="00F070D5">
      <w:pPr>
        <w:ind w:firstLine="720"/>
        <w:rPr>
          <w:lang w:val="es-ES"/>
        </w:rPr>
      </w:pPr>
      <w:r w:rsidRPr="00F63334">
        <w:rPr>
          <w:lang w:val="es-ES"/>
        </w:rPr>
        <w:t xml:space="preserve">Como resultado de ello, el saldo de la balanza de pagos fue negativo en 4.032 millones de dólares, equivalente al 1,3% del PIB. </w:t>
      </w:r>
    </w:p>
    <w:p w:rsidR="00F070D5" w:rsidRDefault="00F070D5" w:rsidP="00C93442">
      <w:pPr>
        <w:rPr>
          <w:lang w:val="es-ES"/>
        </w:rPr>
      </w:pPr>
    </w:p>
    <w:p w:rsidR="00F070D5" w:rsidRPr="00F63334" w:rsidRDefault="00F070D5" w:rsidP="00C93442">
      <w:pPr>
        <w:rPr>
          <w:lang w:val="es-ES"/>
        </w:rPr>
      </w:pPr>
    </w:p>
    <w:p w:rsidR="00145422" w:rsidRPr="00F070D5" w:rsidRDefault="00F070D5" w:rsidP="00F070D5">
      <w:pPr>
        <w:jc w:val="center"/>
        <w:rPr>
          <w:b/>
        </w:rPr>
      </w:pPr>
      <w:r>
        <w:rPr>
          <w:b/>
          <w:szCs w:val="22"/>
          <w:lang w:val="es-ES"/>
        </w:rPr>
        <w:t>4</w:t>
      </w:r>
      <w:r w:rsidRPr="005A5E46">
        <w:rPr>
          <w:b/>
          <w:szCs w:val="22"/>
          <w:lang w:val="es-ES"/>
        </w:rPr>
        <w:t xml:space="preserve">. </w:t>
      </w:r>
      <w:r w:rsidR="00145422" w:rsidRPr="00F070D5">
        <w:rPr>
          <w:b/>
        </w:rPr>
        <w:t>Rasgos principales del primer trimestre de 2012</w:t>
      </w:r>
    </w:p>
    <w:p w:rsidR="00F070D5" w:rsidRPr="00F63334" w:rsidRDefault="00F070D5" w:rsidP="00C93442"/>
    <w:p w:rsidR="00145422" w:rsidRDefault="00145422" w:rsidP="00C93442">
      <w:pPr>
        <w:rPr>
          <w:lang w:val="es-ES"/>
        </w:rPr>
      </w:pPr>
      <w:r w:rsidRPr="00F63334">
        <w:rPr>
          <w:lang w:val="es-ES"/>
        </w:rPr>
        <w:t>En 2012 se espera una aceleración del crecimiento del PIB, que se ubicará en el 5%. También se prevé que la tasa de inflación continúe siendo elevada, como resultado del aumento en los salarios durante el año, así como de otras presiones de costos.</w:t>
      </w:r>
      <w:r w:rsidR="00C93442">
        <w:rPr>
          <w:lang w:val="es-ES"/>
        </w:rPr>
        <w:t xml:space="preserve"> </w:t>
      </w:r>
    </w:p>
    <w:p w:rsidR="00F070D5" w:rsidRPr="00F63334" w:rsidRDefault="00F070D5" w:rsidP="00C93442">
      <w:pPr>
        <w:rPr>
          <w:lang w:val="es-ES"/>
        </w:rPr>
      </w:pPr>
    </w:p>
    <w:p w:rsidR="00145422" w:rsidRDefault="00145422" w:rsidP="00F070D5">
      <w:pPr>
        <w:ind w:firstLine="720"/>
        <w:rPr>
          <w:lang w:val="es-ES"/>
        </w:rPr>
      </w:pPr>
      <w:r w:rsidRPr="00F63334">
        <w:rPr>
          <w:shd w:val="clear" w:color="auto" w:fill="FFFFFF"/>
          <w:lang w:val="es-ES"/>
        </w:rPr>
        <w:t xml:space="preserve">En el primer trimestre de 2012, la instancia expansiva de la política monetaria se aceleró con respecto al mismo período de 2011 y tanto el M1 como el M2 registraron incrementos —del 7% y el 5,9%— entre diciembre de 2011 y marzo de 2012, mientras que el crecimiento de ambos agregados entre diciembre de 2010 y marzo de 2011 fue del 3,6% y el 3,9%, respectivamente. </w:t>
      </w:r>
      <w:r w:rsidRPr="00F63334">
        <w:rPr>
          <w:lang w:val="es-ES"/>
        </w:rPr>
        <w:t xml:space="preserve">El crédito total continuó aumentando con rapidez durante el primer trimestre de 2012 (creció un 8,5% entre diciembre de 2011 y marzo de 2012) y se registró una mayor participación (un 40% del aumento) de la banca pública en el incremento del crédito. </w:t>
      </w:r>
    </w:p>
    <w:p w:rsidR="00F070D5" w:rsidRPr="00F63334" w:rsidRDefault="00F070D5" w:rsidP="00C93442">
      <w:pPr>
        <w:rPr>
          <w:lang w:val="es-ES"/>
        </w:rPr>
      </w:pPr>
    </w:p>
    <w:p w:rsidR="00145422" w:rsidRDefault="00145422" w:rsidP="00F070D5">
      <w:pPr>
        <w:ind w:firstLine="720"/>
        <w:rPr>
          <w:lang w:val="es-ES"/>
        </w:rPr>
      </w:pPr>
      <w:r w:rsidRPr="00F63334">
        <w:rPr>
          <w:lang w:val="es-ES"/>
        </w:rPr>
        <w:t>Entre diciembre de 2011 y marzo de 2012, el tipo de cambio real efectivo se apreció un 1% por efecto de la inflación en ese período, dado que el tipo de cambio nominal se mantuvo fijo. Con ello, en marzo de 2012, el nivel del tipo de cambio real efectivo se ubicaba un 39,2% por debajo (apreciación) del promedio registrado entre 1990 y 2009.</w:t>
      </w:r>
      <w:r w:rsidR="00C93442">
        <w:rPr>
          <w:lang w:val="es-ES"/>
        </w:rPr>
        <w:t xml:space="preserve"> </w:t>
      </w:r>
    </w:p>
    <w:p w:rsidR="00F070D5" w:rsidRPr="00F63334" w:rsidRDefault="00F070D5" w:rsidP="00C93442">
      <w:pPr>
        <w:rPr>
          <w:lang w:val="es-ES"/>
        </w:rPr>
      </w:pPr>
    </w:p>
    <w:p w:rsidR="00145422" w:rsidRDefault="00145422" w:rsidP="00F070D5">
      <w:pPr>
        <w:ind w:firstLine="720"/>
        <w:rPr>
          <w:lang w:val="es-ES"/>
        </w:rPr>
      </w:pPr>
      <w:r w:rsidRPr="00F63334">
        <w:rPr>
          <w:lang w:val="es-ES"/>
        </w:rPr>
        <w:t>En los primeros tres meses de 2012, las reservas internacionales del banco central sufrieron una leve reducción y se ubicaron en 27.482 millones de dólares a fines de marzo, después de que el banco central traspasara 2.500 millones de dólares al FONDEN durante los primeros tres meses del año.</w:t>
      </w:r>
    </w:p>
    <w:p w:rsidR="00F070D5" w:rsidRPr="00F63334" w:rsidRDefault="00F070D5" w:rsidP="00C93442">
      <w:pPr>
        <w:rPr>
          <w:lang w:val="es-ES"/>
        </w:rPr>
      </w:pPr>
    </w:p>
    <w:p w:rsidR="00145422" w:rsidRDefault="00145422" w:rsidP="00F070D5">
      <w:pPr>
        <w:ind w:firstLine="720"/>
        <w:rPr>
          <w:lang w:val="es-ES"/>
        </w:rPr>
      </w:pPr>
      <w:r w:rsidRPr="00F63334">
        <w:rPr>
          <w:lang w:val="es-ES"/>
        </w:rPr>
        <w:t xml:space="preserve">Para 2012 se espera que el dinamismo del PIB se acelere y que este crezca a una tasa del 5%, en paralelo con el mayor impulso fiscal y monetario que resultará en una expansión del consumo privado y </w:t>
      </w:r>
      <w:r w:rsidRPr="00F63334">
        <w:rPr>
          <w:lang w:val="es-ES"/>
        </w:rPr>
        <w:lastRenderedPageBreak/>
        <w:t xml:space="preserve">público. Dicha expansión del gasto de consumo público será financiada por los relativamente altos precios del petróleo, por aumentos en el endeudamiento público y por los recursos disponibles en el Fondo conjunto chino-venezolano y en el FONDEN. </w:t>
      </w:r>
    </w:p>
    <w:p w:rsidR="00F070D5" w:rsidRPr="00F63334" w:rsidRDefault="00F070D5" w:rsidP="00F070D5">
      <w:pPr>
        <w:ind w:firstLine="720"/>
        <w:rPr>
          <w:lang w:val="es-ES"/>
        </w:rPr>
      </w:pPr>
    </w:p>
    <w:p w:rsidR="00145422" w:rsidRDefault="00145422" w:rsidP="00F070D5">
      <w:pPr>
        <w:ind w:firstLine="720"/>
        <w:rPr>
          <w:lang w:val="es-ES"/>
        </w:rPr>
      </w:pPr>
      <w:r w:rsidRPr="00F63334">
        <w:rPr>
          <w:lang w:val="es-ES"/>
        </w:rPr>
        <w:t xml:space="preserve">La actividad económica mostró una importante recuperación del 5,6% en el primer trimestre del año, apuntalada por el crecimiento del sector privado (6%). Tanto el sector petrolero como la actividad no petrolera experimentaron aumentos del 2,2% y el 5,6%, respectivamente, destacándose en las actividades no petroleras el incremento registrado en el sector de la construcción (29,6%) y las instituciones financieras y de seguros (27,7%). </w:t>
      </w:r>
    </w:p>
    <w:p w:rsidR="00F070D5" w:rsidRPr="00F63334" w:rsidRDefault="00F070D5" w:rsidP="00C93442">
      <w:pPr>
        <w:rPr>
          <w:lang w:val="es-ES"/>
        </w:rPr>
      </w:pPr>
    </w:p>
    <w:p w:rsidR="00145422" w:rsidRDefault="00145422" w:rsidP="00F070D5">
      <w:pPr>
        <w:ind w:firstLine="720"/>
        <w:rPr>
          <w:lang w:val="es-ES"/>
        </w:rPr>
      </w:pPr>
      <w:r w:rsidRPr="00F63334">
        <w:rPr>
          <w:lang w:val="es-ES"/>
        </w:rPr>
        <w:t>La demanda agregada interna creció un 16,3% en el primer trimestre de 2012, en comparación con el mismo trimestre de 2011, con un aumento en la formación bruta de capital fijo (27,3%), el consumo del gobierno (5%) y el consumo privado final (5,6%).</w:t>
      </w:r>
      <w:r w:rsidR="00C93442">
        <w:rPr>
          <w:lang w:val="es-ES"/>
        </w:rPr>
        <w:t xml:space="preserve"> </w:t>
      </w:r>
    </w:p>
    <w:p w:rsidR="00F070D5" w:rsidRPr="00F63334" w:rsidRDefault="00F070D5" w:rsidP="00C93442">
      <w:pPr>
        <w:rPr>
          <w:lang w:val="es-ES"/>
        </w:rPr>
      </w:pPr>
    </w:p>
    <w:p w:rsidR="00145422" w:rsidRDefault="00145422" w:rsidP="00F070D5">
      <w:pPr>
        <w:ind w:firstLine="720"/>
        <w:rPr>
          <w:lang w:val="es-ES"/>
        </w:rPr>
      </w:pPr>
      <w:r w:rsidRPr="00F63334">
        <w:rPr>
          <w:lang w:val="es-ES"/>
        </w:rPr>
        <w:t xml:space="preserve">Durante el primer trimestre de 2012, la inflación se ha desacelerado un poco con respecto a 2011, aunque se mantuvo muy elevada. A marzo de 2012, la inflación de 12 meses se ubicaba en un 24,6%, acumulándose un 3,5% de inflación durante los primeros tres meses del año (frente al 6% durante el mismo período del año anterior). Los aumentos de precios se han visto particularmente afectados por el aumento de los alimentos y bebidas, y, sobre todo, por el aumento de los productos agrícolas. </w:t>
      </w:r>
    </w:p>
    <w:p w:rsidR="00F070D5" w:rsidRPr="00F63334" w:rsidRDefault="00F070D5" w:rsidP="00C93442">
      <w:pPr>
        <w:rPr>
          <w:lang w:val="es-ES"/>
        </w:rPr>
      </w:pPr>
    </w:p>
    <w:p w:rsidR="00145422" w:rsidRDefault="00145422" w:rsidP="00F070D5">
      <w:pPr>
        <w:ind w:firstLine="720"/>
        <w:rPr>
          <w:lang w:val="es-ES"/>
        </w:rPr>
      </w:pPr>
      <w:r w:rsidRPr="00F63334">
        <w:rPr>
          <w:lang w:val="es-ES"/>
        </w:rPr>
        <w:t>La tasa de desempleo se redujo en el primer trimestre de 2012 respecto del mismo período de 2011, del 9,3% al 9,1% de la población activa, aunque también se redujo la tasa de actividad, que pasó del 64,3% al 63,5% de la población en edad de trabajar. Además, en abril de 2012, el gobierno anunció un aumento del 15% del salario mínimo a partir de mayo y de otro 15% a partir de septiembre, con lo que se espera que los salarios reales aumenten durante el año.</w:t>
      </w:r>
      <w:r w:rsidR="00C93442">
        <w:rPr>
          <w:lang w:val="es-ES"/>
        </w:rPr>
        <w:t xml:space="preserve"> </w:t>
      </w:r>
    </w:p>
    <w:p w:rsidR="00F070D5" w:rsidRPr="00F63334" w:rsidRDefault="00F070D5" w:rsidP="00C93442">
      <w:pPr>
        <w:rPr>
          <w:lang w:val="es-ES"/>
        </w:rPr>
      </w:pPr>
    </w:p>
    <w:p w:rsidR="00145422" w:rsidRDefault="00145422" w:rsidP="00F070D5">
      <w:pPr>
        <w:ind w:firstLine="720"/>
        <w:rPr>
          <w:lang w:val="es-ES"/>
        </w:rPr>
      </w:pPr>
      <w:r w:rsidRPr="00F63334">
        <w:rPr>
          <w:lang w:val="es-ES"/>
        </w:rPr>
        <w:t xml:space="preserve">En el primer trimestre de 2012, el superávit de la cuenta corriente se redujo un 7%, pese a que el saldo de bienes mostró una mejora del 5%. Las exportaciones se elevaron </w:t>
      </w:r>
      <w:proofErr w:type="gramStart"/>
      <w:r w:rsidRPr="00F63334">
        <w:rPr>
          <w:lang w:val="es-ES"/>
        </w:rPr>
        <w:t>un 23,6%, apuntaladas</w:t>
      </w:r>
      <w:proofErr w:type="gramEnd"/>
      <w:r w:rsidRPr="00F63334">
        <w:rPr>
          <w:lang w:val="es-ES"/>
        </w:rPr>
        <w:t xml:space="preserve"> por las exportaciones petroleras, que crecieron un 25,4%. El resultado en la cuenta de bienes se alcanzó pese al incremento del 48,5% de las importaciones. Los déficits en la cuenta de servicios y de renta se incrementaron un 43,5% y un 5,6%, respectivamente. </w:t>
      </w:r>
    </w:p>
    <w:p w:rsidR="00F070D5" w:rsidRPr="00F63334" w:rsidRDefault="00F070D5" w:rsidP="00C93442">
      <w:pPr>
        <w:rPr>
          <w:lang w:val="es-ES"/>
        </w:rPr>
      </w:pPr>
    </w:p>
    <w:p w:rsidR="00145422" w:rsidRPr="00F63334" w:rsidRDefault="00145422" w:rsidP="00F070D5">
      <w:pPr>
        <w:ind w:firstLine="720"/>
        <w:rPr>
          <w:lang w:val="es-ES"/>
        </w:rPr>
      </w:pPr>
      <w:r w:rsidRPr="00F63334">
        <w:rPr>
          <w:lang w:val="es-ES"/>
        </w:rPr>
        <w:t xml:space="preserve">El déficit en la cuenta de capital y financiera de la balanza de pagos del primer trimestre de 2012 se redujo un 16,5% en comparación con igual período de 2011. Esto ocurrió por efecto de la caída del 58,8% en la inversión directa en el extranjero. La acumulación de activos en el exterior mermó considerablemente dada la dinámica observada en el sector privado, que de acumular activos por 3.300 millones de dólares en el primer trimestre de 2011 pasó a realizar una pequeña </w:t>
      </w:r>
      <w:proofErr w:type="spellStart"/>
      <w:r w:rsidRPr="00F63334">
        <w:rPr>
          <w:lang w:val="es-ES"/>
        </w:rPr>
        <w:t>desacumulación</w:t>
      </w:r>
      <w:proofErr w:type="spellEnd"/>
      <w:r w:rsidRPr="00F63334">
        <w:rPr>
          <w:lang w:val="es-ES"/>
        </w:rPr>
        <w:t xml:space="preserve"> de 51 millones de dólares en el mismo trimestre de 2012.</w:t>
      </w:r>
    </w:p>
    <w:p w:rsidR="00145422" w:rsidRPr="00F63334" w:rsidRDefault="00145422" w:rsidP="00C93442">
      <w:pPr>
        <w:rPr>
          <w:lang w:val="es-ES"/>
        </w:rPr>
      </w:pPr>
    </w:p>
    <w:p w:rsidR="00145422" w:rsidRPr="00F63334" w:rsidRDefault="00145422" w:rsidP="00C93442">
      <w:pPr>
        <w:rPr>
          <w:lang w:val="es-ES"/>
        </w:rPr>
      </w:pPr>
    </w:p>
    <w:p w:rsidR="00145422" w:rsidRPr="00F63334" w:rsidRDefault="00145422" w:rsidP="00C93442">
      <w:pPr>
        <w:rPr>
          <w:lang w:val="es-ES"/>
        </w:rPr>
      </w:pPr>
    </w:p>
    <w:p w:rsidR="00145422" w:rsidRPr="00A705EA" w:rsidRDefault="00145422" w:rsidP="00C93442">
      <w:pPr>
        <w:rPr>
          <w:lang w:val="es-ES"/>
        </w:rPr>
      </w:pPr>
    </w:p>
    <w:sectPr w:rsidR="00145422" w:rsidRPr="00A705EA" w:rsidSect="00F63334">
      <w:headerReference w:type="even" r:id="rId8"/>
      <w:headerReference w:type="default" r:id="rId9"/>
      <w:pgSz w:w="12240" w:h="15840" w:code="1"/>
      <w:pgMar w:top="1939" w:right="1440" w:bottom="1440" w:left="1440" w:header="113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D29" w:rsidRDefault="00987D29">
      <w:r>
        <w:separator/>
      </w:r>
    </w:p>
  </w:endnote>
  <w:endnote w:type="continuationSeparator" w:id="0">
    <w:p w:rsidR="00987D29" w:rsidRDefault="00987D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imesNewRomanMTStd">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D29" w:rsidRDefault="00987D29">
      <w:r>
        <w:separator/>
      </w:r>
    </w:p>
  </w:footnote>
  <w:footnote w:type="continuationSeparator" w:id="0">
    <w:p w:rsidR="00987D29" w:rsidRDefault="00987D29">
      <w:r>
        <w:continuationSeparator/>
      </w:r>
    </w:p>
  </w:footnote>
  <w:footnote w:id="1">
    <w:p w:rsidR="00987D29" w:rsidRPr="00F070D5" w:rsidRDefault="00987D29" w:rsidP="00F070D5">
      <w:pPr>
        <w:ind w:left="284" w:hanging="284"/>
        <w:rPr>
          <w:sz w:val="20"/>
          <w:szCs w:val="20"/>
        </w:rPr>
      </w:pPr>
      <w:r w:rsidRPr="00F070D5">
        <w:rPr>
          <w:sz w:val="20"/>
          <w:szCs w:val="20"/>
          <w:vertAlign w:val="superscript"/>
        </w:rPr>
        <w:footnoteRef/>
      </w:r>
      <w:r w:rsidRPr="00F070D5">
        <w:rPr>
          <w:sz w:val="20"/>
          <w:szCs w:val="20"/>
          <w:vertAlign w:val="superscript"/>
          <w:lang w:val="es-ES"/>
        </w:rPr>
        <w:t xml:space="preserve"> </w:t>
      </w:r>
      <w:r>
        <w:rPr>
          <w:sz w:val="20"/>
          <w:szCs w:val="20"/>
          <w:lang w:val="es-ES"/>
        </w:rPr>
        <w:tab/>
      </w:r>
      <w:r w:rsidRPr="00F070D5">
        <w:rPr>
          <w:sz w:val="20"/>
          <w:szCs w:val="20"/>
          <w:lang w:val="es-ES"/>
        </w:rPr>
        <w:t xml:space="preserve">Sobre la base de los valores informados por la OPEP usando fuentes secundarias en su publicación </w:t>
      </w:r>
      <w:proofErr w:type="spellStart"/>
      <w:r w:rsidRPr="00F070D5">
        <w:rPr>
          <w:i/>
          <w:sz w:val="20"/>
          <w:szCs w:val="20"/>
          <w:lang w:val="es-ES"/>
        </w:rPr>
        <w:t>Monthly</w:t>
      </w:r>
      <w:proofErr w:type="spellEnd"/>
      <w:r w:rsidRPr="00F070D5">
        <w:rPr>
          <w:i/>
          <w:sz w:val="20"/>
          <w:szCs w:val="20"/>
          <w:lang w:val="es-ES"/>
        </w:rPr>
        <w:t xml:space="preserve"> </w:t>
      </w:r>
      <w:proofErr w:type="spellStart"/>
      <w:r w:rsidRPr="00F070D5">
        <w:rPr>
          <w:i/>
          <w:sz w:val="20"/>
          <w:szCs w:val="20"/>
          <w:lang w:val="es-ES"/>
        </w:rPr>
        <w:t>Oil</w:t>
      </w:r>
      <w:proofErr w:type="spellEnd"/>
      <w:r w:rsidRPr="00F070D5">
        <w:rPr>
          <w:i/>
          <w:sz w:val="20"/>
          <w:szCs w:val="20"/>
          <w:lang w:val="es-ES"/>
        </w:rPr>
        <w:t xml:space="preserve"> </w:t>
      </w:r>
      <w:proofErr w:type="spellStart"/>
      <w:r w:rsidRPr="00F070D5">
        <w:rPr>
          <w:i/>
          <w:sz w:val="20"/>
          <w:szCs w:val="20"/>
          <w:lang w:val="es-ES"/>
        </w:rPr>
        <w:t>Market</w:t>
      </w:r>
      <w:proofErr w:type="spellEnd"/>
      <w:r w:rsidRPr="00F070D5">
        <w:rPr>
          <w:i/>
          <w:sz w:val="20"/>
          <w:szCs w:val="20"/>
          <w:lang w:val="es-ES"/>
        </w:rPr>
        <w:t xml:space="preserve"> </w:t>
      </w:r>
      <w:proofErr w:type="spellStart"/>
      <w:r w:rsidRPr="00F070D5">
        <w:rPr>
          <w:i/>
          <w:sz w:val="20"/>
          <w:szCs w:val="20"/>
          <w:lang w:val="es-ES"/>
        </w:rPr>
        <w:t>Report</w:t>
      </w:r>
      <w:proofErr w:type="spellEnd"/>
      <w:r w:rsidRPr="00F070D5">
        <w:rPr>
          <w:sz w:val="20"/>
          <w:szCs w:val="20"/>
          <w:lang w:val="es-E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D29" w:rsidRDefault="00987D29">
    <w:pPr>
      <w:rPr>
        <w:sz w:val="18"/>
        <w:szCs w:val="18"/>
        <w:lang w:val="es-ES"/>
      </w:rPr>
    </w:pPr>
    <w:r>
      <w:rPr>
        <w:sz w:val="18"/>
        <w:szCs w:val="18"/>
        <w:lang w:val="es-ES"/>
      </w:rPr>
      <w:t xml:space="preserve"> </w:t>
    </w:r>
    <w:r w:rsidR="00D3294B">
      <w:rPr>
        <w:sz w:val="18"/>
        <w:szCs w:val="18"/>
        <w:lang w:val="es-ES"/>
      </w:rPr>
      <w:fldChar w:fldCharType="begin"/>
    </w:r>
    <w:r>
      <w:rPr>
        <w:sz w:val="18"/>
        <w:szCs w:val="18"/>
        <w:lang w:val="es-ES"/>
      </w:rPr>
      <w:instrText xml:space="preserve"> PAGE </w:instrText>
    </w:r>
    <w:r w:rsidR="00D3294B">
      <w:rPr>
        <w:sz w:val="18"/>
        <w:szCs w:val="18"/>
        <w:lang w:val="es-ES"/>
      </w:rPr>
      <w:fldChar w:fldCharType="separate"/>
    </w:r>
    <w:r>
      <w:rPr>
        <w:noProof/>
        <w:sz w:val="18"/>
        <w:szCs w:val="18"/>
        <w:lang w:val="es-ES"/>
      </w:rPr>
      <w:t>8</w:t>
    </w:r>
    <w:r w:rsidR="00D3294B">
      <w:rPr>
        <w:sz w:val="18"/>
        <w:szCs w:val="18"/>
        <w:lang w:val="es-ES"/>
      </w:rPr>
      <w:fldChar w:fldCharType="end"/>
    </w:r>
    <w:r>
      <w:rPr>
        <w:sz w:val="18"/>
        <w:szCs w:val="18"/>
        <w:lang w:val="es-ES"/>
      </w:rPr>
      <w:t xml:space="preserve">                                           </w:t>
    </w:r>
    <w:r>
      <w:rPr>
        <w:sz w:val="18"/>
        <w:szCs w:val="18"/>
        <w:lang w:val="es-ES"/>
      </w:rPr>
      <w:tab/>
      <w:t xml:space="preserve">            Comisión Económica para América Latina y el Caribe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2907"/>
      <w:docPartObj>
        <w:docPartGallery w:val="Page Numbers (Top of Page)"/>
        <w:docPartUnique/>
      </w:docPartObj>
    </w:sdtPr>
    <w:sdtContent>
      <w:p w:rsidR="00987D29" w:rsidRPr="00F63334" w:rsidRDefault="00D3294B" w:rsidP="00F63334">
        <w:pPr>
          <w:jc w:val="center"/>
        </w:pPr>
        <w:fldSimple w:instr=" PAGE   \* MERGEFORMAT ">
          <w:r w:rsidR="00ED55E5">
            <w:rPr>
              <w:noProof/>
            </w:rPr>
            <w:t>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7944"/>
    <w:multiLevelType w:val="hybridMultilevel"/>
    <w:tmpl w:val="F6AE353C"/>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0F321E3"/>
    <w:multiLevelType w:val="hybridMultilevel"/>
    <w:tmpl w:val="5116412C"/>
    <w:lvl w:ilvl="0" w:tplc="5470C66E">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49A4277"/>
    <w:multiLevelType w:val="hybridMultilevel"/>
    <w:tmpl w:val="2D56A21A"/>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07947159"/>
    <w:multiLevelType w:val="hybridMultilevel"/>
    <w:tmpl w:val="5AF26338"/>
    <w:lvl w:ilvl="0" w:tplc="027EFEB6">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0287F1E"/>
    <w:multiLevelType w:val="hybridMultilevel"/>
    <w:tmpl w:val="C122AC0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11230C2E"/>
    <w:multiLevelType w:val="hybridMultilevel"/>
    <w:tmpl w:val="30DEFE26"/>
    <w:lvl w:ilvl="0" w:tplc="367A5A28">
      <w:start w:val="1"/>
      <w:numFmt w:val="lowerLetter"/>
      <w:lvlText w:val="%1."/>
      <w:lvlJc w:val="left"/>
      <w:pPr>
        <w:tabs>
          <w:tab w:val="num" w:pos="780"/>
        </w:tabs>
        <w:ind w:left="780" w:hanging="4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12AC7E95"/>
    <w:multiLevelType w:val="hybridMultilevel"/>
    <w:tmpl w:val="AA8C38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A7A7CD3"/>
    <w:multiLevelType w:val="hybridMultilevel"/>
    <w:tmpl w:val="E9B0AF7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1F930E59"/>
    <w:multiLevelType w:val="hybridMultilevel"/>
    <w:tmpl w:val="B516B01A"/>
    <w:lvl w:ilvl="0" w:tplc="04090017">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331408B"/>
    <w:multiLevelType w:val="hybridMultilevel"/>
    <w:tmpl w:val="FF668496"/>
    <w:lvl w:ilvl="0" w:tplc="3780B45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B94011"/>
    <w:multiLevelType w:val="hybridMultilevel"/>
    <w:tmpl w:val="63FAC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4364C7"/>
    <w:multiLevelType w:val="hybridMultilevel"/>
    <w:tmpl w:val="0A1E7D4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32B04B9C"/>
    <w:multiLevelType w:val="hybridMultilevel"/>
    <w:tmpl w:val="8B44598E"/>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53910C0"/>
    <w:multiLevelType w:val="hybridMultilevel"/>
    <w:tmpl w:val="1E4A8424"/>
    <w:lvl w:ilvl="0" w:tplc="71F2B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0664E6"/>
    <w:multiLevelType w:val="hybridMultilevel"/>
    <w:tmpl w:val="C212E810"/>
    <w:lvl w:ilvl="0" w:tplc="9D02C4B4">
      <w:start w:val="3"/>
      <w:numFmt w:val="lowerLetter"/>
      <w:lvlText w:val="%1."/>
      <w:lvlJc w:val="left"/>
      <w:pPr>
        <w:tabs>
          <w:tab w:val="num" w:pos="780"/>
        </w:tabs>
        <w:ind w:left="780" w:hanging="4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nsid w:val="42B849AE"/>
    <w:multiLevelType w:val="hybridMultilevel"/>
    <w:tmpl w:val="6D4C9A82"/>
    <w:lvl w:ilvl="0" w:tplc="EDAEF20C">
      <w:start w:val="2"/>
      <w:numFmt w:val="lowerLetter"/>
      <w:lvlText w:val="%1."/>
      <w:lvlJc w:val="left"/>
      <w:pPr>
        <w:tabs>
          <w:tab w:val="num" w:pos="780"/>
        </w:tabs>
        <w:ind w:left="780" w:hanging="4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nsid w:val="42BC6800"/>
    <w:multiLevelType w:val="hybridMultilevel"/>
    <w:tmpl w:val="4A865494"/>
    <w:lvl w:ilvl="0" w:tplc="36D26BF0">
      <w:start w:val="1"/>
      <w:numFmt w:val="lowerLetter"/>
      <w:lvlText w:val="%1)"/>
      <w:lvlJc w:val="left"/>
      <w:pPr>
        <w:tabs>
          <w:tab w:val="num" w:pos="1065"/>
        </w:tabs>
        <w:ind w:left="1065" w:hanging="70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43FF49E3"/>
    <w:multiLevelType w:val="hybridMultilevel"/>
    <w:tmpl w:val="10D40352"/>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8B62965"/>
    <w:multiLevelType w:val="hybridMultilevel"/>
    <w:tmpl w:val="3C9C9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1C0AE3"/>
    <w:multiLevelType w:val="hybridMultilevel"/>
    <w:tmpl w:val="03DA0BF8"/>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CB211CC"/>
    <w:multiLevelType w:val="hybridMultilevel"/>
    <w:tmpl w:val="1606519A"/>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4DD81169"/>
    <w:multiLevelType w:val="hybridMultilevel"/>
    <w:tmpl w:val="1EC246A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4E777D8C"/>
    <w:multiLevelType w:val="hybridMultilevel"/>
    <w:tmpl w:val="253CF3CE"/>
    <w:lvl w:ilvl="0" w:tplc="D97848C4">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4F30396D"/>
    <w:multiLevelType w:val="hybridMultilevel"/>
    <w:tmpl w:val="B9C0A228"/>
    <w:lvl w:ilvl="0" w:tplc="904E9A74">
      <w:start w:val="1"/>
      <w:numFmt w:val="upperLetter"/>
      <w:lvlText w:val="%1)"/>
      <w:lvlJc w:val="left"/>
      <w:pPr>
        <w:ind w:left="720" w:hanging="360"/>
      </w:pPr>
      <w:rPr>
        <w:rFonts w:cs="TimesNewRomanMT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F43AAC"/>
    <w:multiLevelType w:val="hybridMultilevel"/>
    <w:tmpl w:val="A1467026"/>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4E34001"/>
    <w:multiLevelType w:val="hybridMultilevel"/>
    <w:tmpl w:val="52FAC3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56443D47"/>
    <w:multiLevelType w:val="hybridMultilevel"/>
    <w:tmpl w:val="234A14AA"/>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nsid w:val="5952763D"/>
    <w:multiLevelType w:val="hybridMultilevel"/>
    <w:tmpl w:val="3A08AB90"/>
    <w:lvl w:ilvl="0" w:tplc="24A401B4">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5B121C94"/>
    <w:multiLevelType w:val="hybridMultilevel"/>
    <w:tmpl w:val="1046A472"/>
    <w:lvl w:ilvl="0" w:tplc="8CB6B70E">
      <w:start w:val="1"/>
      <w:numFmt w:val="decimal"/>
      <w:lvlText w:val="%1."/>
      <w:lvlJc w:val="left"/>
      <w:pPr>
        <w:ind w:left="360" w:hanging="360"/>
      </w:pPr>
      <w:rPr>
        <w:rFonts w:cs="Times New Roman" w:hint="default"/>
        <w:sz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5E5F2E06"/>
    <w:multiLevelType w:val="hybridMultilevel"/>
    <w:tmpl w:val="3EB4C868"/>
    <w:lvl w:ilvl="0" w:tplc="B5E6EAC8">
      <w:start w:val="1"/>
      <w:numFmt w:val="lowerLetter"/>
      <w:lvlText w:val="%1)"/>
      <w:lvlJc w:val="left"/>
      <w:pPr>
        <w:ind w:left="1069" w:hanging="360"/>
      </w:pPr>
      <w:rPr>
        <w:rFonts w:cs="Times New Roman"/>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0">
    <w:nsid w:val="613F7492"/>
    <w:multiLevelType w:val="hybridMultilevel"/>
    <w:tmpl w:val="F4DC4B68"/>
    <w:lvl w:ilvl="0" w:tplc="26E8F3F8">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65693B16"/>
    <w:multiLevelType w:val="hybridMultilevel"/>
    <w:tmpl w:val="133E7DFC"/>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nsid w:val="65AB1F64"/>
    <w:multiLevelType w:val="hybridMultilevel"/>
    <w:tmpl w:val="E48EC798"/>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nsid w:val="6ACC72EF"/>
    <w:multiLevelType w:val="hybridMultilevel"/>
    <w:tmpl w:val="09BE25F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BF86AA7"/>
    <w:multiLevelType w:val="hybridMultilevel"/>
    <w:tmpl w:val="E7DC85E6"/>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nsid w:val="6C2F20C5"/>
    <w:multiLevelType w:val="hybridMultilevel"/>
    <w:tmpl w:val="5EC4080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nsid w:val="710F144E"/>
    <w:multiLevelType w:val="hybridMultilevel"/>
    <w:tmpl w:val="82C406C4"/>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nsid w:val="75883389"/>
    <w:multiLevelType w:val="hybridMultilevel"/>
    <w:tmpl w:val="B96629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76D5A5C"/>
    <w:multiLevelType w:val="hybridMultilevel"/>
    <w:tmpl w:val="64E62088"/>
    <w:lvl w:ilvl="0" w:tplc="0FA8E86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9440621"/>
    <w:multiLevelType w:val="hybridMultilevel"/>
    <w:tmpl w:val="126C3F3C"/>
    <w:lvl w:ilvl="0" w:tplc="057CD35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7A3F2148"/>
    <w:multiLevelType w:val="hybridMultilevel"/>
    <w:tmpl w:val="48B6CD7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7CDA00DF"/>
    <w:multiLevelType w:val="hybridMultilevel"/>
    <w:tmpl w:val="4164F80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2">
    <w:nsid w:val="7D3A6577"/>
    <w:multiLevelType w:val="hybridMultilevel"/>
    <w:tmpl w:val="8E6E80EE"/>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2"/>
  </w:num>
  <w:num w:numId="3">
    <w:abstractNumId w:val="40"/>
  </w:num>
  <w:num w:numId="4">
    <w:abstractNumId w:val="0"/>
  </w:num>
  <w:num w:numId="5">
    <w:abstractNumId w:val="25"/>
  </w:num>
  <w:num w:numId="6">
    <w:abstractNumId w:val="19"/>
  </w:num>
  <w:num w:numId="7">
    <w:abstractNumId w:val="24"/>
  </w:num>
  <w:num w:numId="8">
    <w:abstractNumId w:val="21"/>
  </w:num>
  <w:num w:numId="9">
    <w:abstractNumId w:val="17"/>
  </w:num>
  <w:num w:numId="10">
    <w:abstractNumId w:val="33"/>
  </w:num>
  <w:num w:numId="11">
    <w:abstractNumId w:val="31"/>
  </w:num>
  <w:num w:numId="12">
    <w:abstractNumId w:val="36"/>
  </w:num>
  <w:num w:numId="13">
    <w:abstractNumId w:val="42"/>
  </w:num>
  <w:num w:numId="14">
    <w:abstractNumId w:val="26"/>
  </w:num>
  <w:num w:numId="15">
    <w:abstractNumId w:val="16"/>
  </w:num>
  <w:num w:numId="16">
    <w:abstractNumId w:val="4"/>
  </w:num>
  <w:num w:numId="17">
    <w:abstractNumId w:val="20"/>
  </w:num>
  <w:num w:numId="18">
    <w:abstractNumId w:val="41"/>
  </w:num>
  <w:num w:numId="19">
    <w:abstractNumId w:val="34"/>
  </w:num>
  <w:num w:numId="20">
    <w:abstractNumId w:val="35"/>
  </w:num>
  <w:num w:numId="21">
    <w:abstractNumId w:val="11"/>
  </w:num>
  <w:num w:numId="22">
    <w:abstractNumId w:val="6"/>
  </w:num>
  <w:num w:numId="23">
    <w:abstractNumId w:val="37"/>
  </w:num>
  <w:num w:numId="24">
    <w:abstractNumId w:val="39"/>
  </w:num>
  <w:num w:numId="25">
    <w:abstractNumId w:val="5"/>
  </w:num>
  <w:num w:numId="26">
    <w:abstractNumId w:val="14"/>
  </w:num>
  <w:num w:numId="27">
    <w:abstractNumId w:val="15"/>
  </w:num>
  <w:num w:numId="28">
    <w:abstractNumId w:val="3"/>
  </w:num>
  <w:num w:numId="29">
    <w:abstractNumId w:val="8"/>
  </w:num>
  <w:num w:numId="30">
    <w:abstractNumId w:val="3"/>
    <w:lvlOverride w:ilvl="0">
      <w:startOverride w:val="1"/>
    </w:lvlOverride>
  </w:num>
  <w:num w:numId="31">
    <w:abstractNumId w:val="2"/>
  </w:num>
  <w:num w:numId="32">
    <w:abstractNumId w:val="30"/>
  </w:num>
  <w:num w:numId="33">
    <w:abstractNumId w:val="8"/>
    <w:lvlOverride w:ilvl="0">
      <w:startOverride w:val="1"/>
    </w:lvlOverride>
  </w:num>
  <w:num w:numId="34">
    <w:abstractNumId w:val="8"/>
    <w:lvlOverride w:ilvl="0">
      <w:startOverride w:val="1"/>
    </w:lvlOverride>
  </w:num>
  <w:num w:numId="35">
    <w:abstractNumId w:val="29"/>
  </w:num>
  <w:num w:numId="36">
    <w:abstractNumId w:val="22"/>
  </w:num>
  <w:num w:numId="37">
    <w:abstractNumId w:val="32"/>
  </w:num>
  <w:num w:numId="38">
    <w:abstractNumId w:val="27"/>
  </w:num>
  <w:num w:numId="39">
    <w:abstractNumId w:val="30"/>
    <w:lvlOverride w:ilvl="0">
      <w:startOverride w:val="3"/>
    </w:lvlOverride>
  </w:num>
  <w:num w:numId="40">
    <w:abstractNumId w:val="28"/>
  </w:num>
  <w:num w:numId="41">
    <w:abstractNumId w:val="38"/>
  </w:num>
  <w:num w:numId="42">
    <w:abstractNumId w:val="1"/>
  </w:num>
  <w:num w:numId="43">
    <w:abstractNumId w:val="18"/>
  </w:num>
  <w:num w:numId="44">
    <w:abstractNumId w:val="10"/>
  </w:num>
  <w:num w:numId="45">
    <w:abstractNumId w:val="13"/>
  </w:num>
  <w:num w:numId="46">
    <w:abstractNumId w:val="9"/>
  </w:num>
  <w:num w:numId="4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footnotePr>
    <w:footnote w:id="-1"/>
    <w:footnote w:id="0"/>
  </w:footnotePr>
  <w:endnotePr>
    <w:endnote w:id="-1"/>
    <w:endnote w:id="0"/>
  </w:endnotePr>
  <w:compat/>
  <w:rsids>
    <w:rsidRoot w:val="00B805A8"/>
    <w:rsid w:val="00031A3D"/>
    <w:rsid w:val="000824F7"/>
    <w:rsid w:val="000B53D0"/>
    <w:rsid w:val="000E7BCC"/>
    <w:rsid w:val="000F0FCA"/>
    <w:rsid w:val="000F30AB"/>
    <w:rsid w:val="00111545"/>
    <w:rsid w:val="001352B5"/>
    <w:rsid w:val="00145422"/>
    <w:rsid w:val="00155861"/>
    <w:rsid w:val="00160482"/>
    <w:rsid w:val="001618F5"/>
    <w:rsid w:val="001838D2"/>
    <w:rsid w:val="001934CC"/>
    <w:rsid w:val="001C75F0"/>
    <w:rsid w:val="001E44CF"/>
    <w:rsid w:val="00221F7D"/>
    <w:rsid w:val="00223811"/>
    <w:rsid w:val="0022779E"/>
    <w:rsid w:val="00227DEA"/>
    <w:rsid w:val="00276486"/>
    <w:rsid w:val="00282891"/>
    <w:rsid w:val="002B28E4"/>
    <w:rsid w:val="00314960"/>
    <w:rsid w:val="00321C79"/>
    <w:rsid w:val="0032566E"/>
    <w:rsid w:val="0035511A"/>
    <w:rsid w:val="0036273A"/>
    <w:rsid w:val="00387ACE"/>
    <w:rsid w:val="003903B7"/>
    <w:rsid w:val="003940E1"/>
    <w:rsid w:val="0039462B"/>
    <w:rsid w:val="00394AC5"/>
    <w:rsid w:val="003A3344"/>
    <w:rsid w:val="003D45EE"/>
    <w:rsid w:val="004050D6"/>
    <w:rsid w:val="0040609B"/>
    <w:rsid w:val="004111F9"/>
    <w:rsid w:val="00437BCE"/>
    <w:rsid w:val="00455653"/>
    <w:rsid w:val="00455BA1"/>
    <w:rsid w:val="00460061"/>
    <w:rsid w:val="00472C81"/>
    <w:rsid w:val="004934DA"/>
    <w:rsid w:val="004958D5"/>
    <w:rsid w:val="00497210"/>
    <w:rsid w:val="004B1920"/>
    <w:rsid w:val="004D1ACB"/>
    <w:rsid w:val="004D236B"/>
    <w:rsid w:val="004E5FEE"/>
    <w:rsid w:val="004F4FE1"/>
    <w:rsid w:val="00554207"/>
    <w:rsid w:val="00577647"/>
    <w:rsid w:val="005877CF"/>
    <w:rsid w:val="005A16F5"/>
    <w:rsid w:val="005C3CDD"/>
    <w:rsid w:val="005D5CB3"/>
    <w:rsid w:val="00606FFB"/>
    <w:rsid w:val="00655E2B"/>
    <w:rsid w:val="00681160"/>
    <w:rsid w:val="006A44EB"/>
    <w:rsid w:val="006A4C21"/>
    <w:rsid w:val="006A52AB"/>
    <w:rsid w:val="006A6D1F"/>
    <w:rsid w:val="006C211A"/>
    <w:rsid w:val="006D3F41"/>
    <w:rsid w:val="006E53A5"/>
    <w:rsid w:val="006F1B4B"/>
    <w:rsid w:val="006F2D8D"/>
    <w:rsid w:val="006F61C8"/>
    <w:rsid w:val="006F7A57"/>
    <w:rsid w:val="00736091"/>
    <w:rsid w:val="00763F5D"/>
    <w:rsid w:val="007765E8"/>
    <w:rsid w:val="007B0EC7"/>
    <w:rsid w:val="007B47A6"/>
    <w:rsid w:val="007D32D3"/>
    <w:rsid w:val="008375F1"/>
    <w:rsid w:val="00872A83"/>
    <w:rsid w:val="00881F77"/>
    <w:rsid w:val="008820DA"/>
    <w:rsid w:val="008853BB"/>
    <w:rsid w:val="008B4BFC"/>
    <w:rsid w:val="008C5E1A"/>
    <w:rsid w:val="008D0A95"/>
    <w:rsid w:val="008E2BD0"/>
    <w:rsid w:val="008F05B5"/>
    <w:rsid w:val="009327FF"/>
    <w:rsid w:val="00940EE6"/>
    <w:rsid w:val="009621E1"/>
    <w:rsid w:val="009629F2"/>
    <w:rsid w:val="00967A51"/>
    <w:rsid w:val="00987D29"/>
    <w:rsid w:val="00994FFB"/>
    <w:rsid w:val="00996E90"/>
    <w:rsid w:val="00A22B77"/>
    <w:rsid w:val="00A32FEE"/>
    <w:rsid w:val="00A37A75"/>
    <w:rsid w:val="00A705EA"/>
    <w:rsid w:val="00A74F22"/>
    <w:rsid w:val="00A751D1"/>
    <w:rsid w:val="00A838C1"/>
    <w:rsid w:val="00A90033"/>
    <w:rsid w:val="00A94658"/>
    <w:rsid w:val="00AA359B"/>
    <w:rsid w:val="00AB0EAA"/>
    <w:rsid w:val="00AC7551"/>
    <w:rsid w:val="00B0113A"/>
    <w:rsid w:val="00B1244A"/>
    <w:rsid w:val="00B12ED7"/>
    <w:rsid w:val="00B760ED"/>
    <w:rsid w:val="00B8034C"/>
    <w:rsid w:val="00B805A8"/>
    <w:rsid w:val="00BB00C6"/>
    <w:rsid w:val="00C207C0"/>
    <w:rsid w:val="00C21910"/>
    <w:rsid w:val="00C3661B"/>
    <w:rsid w:val="00C5061C"/>
    <w:rsid w:val="00C62689"/>
    <w:rsid w:val="00C67214"/>
    <w:rsid w:val="00C74495"/>
    <w:rsid w:val="00C84A42"/>
    <w:rsid w:val="00C93442"/>
    <w:rsid w:val="00C93AB5"/>
    <w:rsid w:val="00C97A4C"/>
    <w:rsid w:val="00CA2C52"/>
    <w:rsid w:val="00CC26F2"/>
    <w:rsid w:val="00CD2072"/>
    <w:rsid w:val="00CD6512"/>
    <w:rsid w:val="00CF2911"/>
    <w:rsid w:val="00CF75A6"/>
    <w:rsid w:val="00D212F8"/>
    <w:rsid w:val="00D3012A"/>
    <w:rsid w:val="00D3294B"/>
    <w:rsid w:val="00D45B41"/>
    <w:rsid w:val="00D6466D"/>
    <w:rsid w:val="00D87D2C"/>
    <w:rsid w:val="00D953A3"/>
    <w:rsid w:val="00DC159F"/>
    <w:rsid w:val="00DC2F0D"/>
    <w:rsid w:val="00DE6CDA"/>
    <w:rsid w:val="00E42971"/>
    <w:rsid w:val="00E4519A"/>
    <w:rsid w:val="00EA18A9"/>
    <w:rsid w:val="00EA3E40"/>
    <w:rsid w:val="00EB0A1F"/>
    <w:rsid w:val="00EC248F"/>
    <w:rsid w:val="00ED55E5"/>
    <w:rsid w:val="00ED7C8F"/>
    <w:rsid w:val="00F070D5"/>
    <w:rsid w:val="00F43DB4"/>
    <w:rsid w:val="00F53BC3"/>
    <w:rsid w:val="00F63334"/>
    <w:rsid w:val="00F87261"/>
    <w:rsid w:val="00F95CB7"/>
    <w:rsid w:val="00F974D0"/>
    <w:rsid w:val="00FB15D0"/>
    <w:rsid w:val="00FB498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442"/>
    <w:pPr>
      <w:jc w:val="both"/>
    </w:pPr>
    <w:rPr>
      <w:szCs w:val="24"/>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334"/>
    <w:rPr>
      <w:rFonts w:ascii="Tahoma" w:hAnsi="Tahoma" w:cs="Tahoma"/>
      <w:sz w:val="16"/>
      <w:szCs w:val="16"/>
    </w:rPr>
  </w:style>
  <w:style w:type="character" w:customStyle="1" w:styleId="BalloonTextChar">
    <w:name w:val="Balloon Text Char"/>
    <w:basedOn w:val="DefaultParagraphFont"/>
    <w:link w:val="BalloonText"/>
    <w:uiPriority w:val="99"/>
    <w:semiHidden/>
    <w:rsid w:val="00F63334"/>
    <w:rPr>
      <w:rFonts w:ascii="Tahoma" w:hAnsi="Tahoma" w:cs="Tahoma"/>
      <w:sz w:val="16"/>
      <w:szCs w:val="16"/>
      <w:lang w:val="en-US" w:eastAsia="en-US"/>
    </w:rPr>
  </w:style>
  <w:style w:type="paragraph" w:styleId="ListParagraph">
    <w:name w:val="List Paragraph"/>
    <w:basedOn w:val="Normal"/>
    <w:uiPriority w:val="34"/>
    <w:qFormat/>
    <w:rsid w:val="00C93442"/>
    <w:pPr>
      <w:ind w:left="720"/>
      <w:contextualSpacing/>
    </w:pPr>
  </w:style>
</w:styles>
</file>

<file path=word/webSettings.xml><?xml version="1.0" encoding="utf-8"?>
<w:webSettings xmlns:r="http://schemas.openxmlformats.org/officeDocument/2006/relationships" xmlns:w="http://schemas.openxmlformats.org/wordprocessingml/2006/main">
  <w:divs>
    <w:div w:id="1122770430">
      <w:marLeft w:val="0"/>
      <w:marRight w:val="0"/>
      <w:marTop w:val="0"/>
      <w:marBottom w:val="0"/>
      <w:divBdr>
        <w:top w:val="none" w:sz="0" w:space="0" w:color="auto"/>
        <w:left w:val="none" w:sz="0" w:space="0" w:color="auto"/>
        <w:bottom w:val="none" w:sz="0" w:space="0" w:color="auto"/>
        <w:right w:val="none" w:sz="0" w:space="0" w:color="auto"/>
      </w:divBdr>
    </w:div>
    <w:div w:id="1122770431">
      <w:marLeft w:val="0"/>
      <w:marRight w:val="0"/>
      <w:marTop w:val="0"/>
      <w:marBottom w:val="0"/>
      <w:divBdr>
        <w:top w:val="none" w:sz="0" w:space="0" w:color="auto"/>
        <w:left w:val="none" w:sz="0" w:space="0" w:color="auto"/>
        <w:bottom w:val="none" w:sz="0" w:space="0" w:color="auto"/>
        <w:right w:val="none" w:sz="0" w:space="0" w:color="auto"/>
      </w:divBdr>
    </w:div>
    <w:div w:id="1122770432">
      <w:marLeft w:val="0"/>
      <w:marRight w:val="0"/>
      <w:marTop w:val="0"/>
      <w:marBottom w:val="0"/>
      <w:divBdr>
        <w:top w:val="none" w:sz="0" w:space="0" w:color="auto"/>
        <w:left w:val="none" w:sz="0" w:space="0" w:color="auto"/>
        <w:bottom w:val="none" w:sz="0" w:space="0" w:color="auto"/>
        <w:right w:val="none" w:sz="0" w:space="0" w:color="auto"/>
      </w:divBdr>
    </w:div>
    <w:div w:id="1122770433">
      <w:marLeft w:val="0"/>
      <w:marRight w:val="0"/>
      <w:marTop w:val="0"/>
      <w:marBottom w:val="0"/>
      <w:divBdr>
        <w:top w:val="none" w:sz="0" w:space="0" w:color="auto"/>
        <w:left w:val="none" w:sz="0" w:space="0" w:color="auto"/>
        <w:bottom w:val="none" w:sz="0" w:space="0" w:color="auto"/>
        <w:right w:val="none" w:sz="0" w:space="0" w:color="auto"/>
      </w:divBdr>
    </w:div>
    <w:div w:id="1122770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7E702-867A-4CAD-8F06-01F58A43B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2743</Words>
  <Characters>13609</Characters>
  <Application>Microsoft Office Word</Application>
  <DocSecurity>0</DocSecurity>
  <Lines>238</Lines>
  <Paragraphs>53</Paragraphs>
  <ScaleCrop>false</ScaleCrop>
  <HeadingPairs>
    <vt:vector size="2" baseType="variant">
      <vt:variant>
        <vt:lpstr>Title</vt:lpstr>
      </vt:variant>
      <vt:variant>
        <vt:i4>1</vt:i4>
      </vt:variant>
    </vt:vector>
  </HeadingPairs>
  <TitlesOfParts>
    <vt:vector size="1" baseType="lpstr">
      <vt:lpstr>Barbados</vt:lpstr>
    </vt:vector>
  </TitlesOfParts>
  <Company>CEPAL, Naciones Unidas</Company>
  <LinksUpToDate>false</LinksUpToDate>
  <CharactersWithSpaces>16299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Barbados</dc:title>
  <dc:subject/>
  <dc:creator> </dc:creator>
  <cp:keywords/>
  <dc:description/>
  <cp:lastModifiedBy>pmeschi2</cp:lastModifiedBy>
  <cp:revision>5</cp:revision>
  <cp:lastPrinted>2012-07-01T18:01:00Z</cp:lastPrinted>
  <dcterms:created xsi:type="dcterms:W3CDTF">2012-09-03T14:08:00Z</dcterms:created>
  <dcterms:modified xsi:type="dcterms:W3CDTF">2012-09-03T15:31:00Z</dcterms:modified>
</cp:coreProperties>
</file>